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588" w:rsidRPr="00E84500" w:rsidRDefault="00201588" w:rsidP="00201588">
      <w:pPr>
        <w:pStyle w:val="Title"/>
        <w:tabs>
          <w:tab w:val="center" w:pos="4370"/>
          <w:tab w:val="left" w:pos="7320"/>
        </w:tabs>
        <w:ind w:left="2835"/>
        <w:jc w:val="both"/>
        <w:rPr>
          <w:rFonts w:ascii="Century Gothic" w:hAnsi="Century Gothic" w:cs="Century Gothic"/>
          <w:b/>
          <w:lang w:val="en-GB"/>
        </w:rPr>
      </w:pPr>
      <w:r w:rsidRPr="00E84500">
        <w:rPr>
          <w:rFonts w:ascii="Century Gothic" w:hAnsi="Century Gothic"/>
          <w:b/>
          <w:noProof/>
        </w:rPr>
        <w:drawing>
          <wp:anchor distT="0" distB="0" distL="114300" distR="114300" simplePos="0" relativeHeight="251659264" behindDoc="0" locked="0" layoutInCell="0" allowOverlap="1" wp14:anchorId="62C323D5" wp14:editId="73428E6C">
            <wp:simplePos x="0" y="0"/>
            <wp:positionH relativeFrom="column">
              <wp:posOffset>2543175</wp:posOffset>
            </wp:positionH>
            <wp:positionV relativeFrom="paragraph">
              <wp:posOffset>-257175</wp:posOffset>
            </wp:positionV>
            <wp:extent cx="742950" cy="1009650"/>
            <wp:effectExtent l="19050" t="0" r="0" b="0"/>
            <wp:wrapTopAndBottom/>
            <wp:docPr id="2" name="Picture 2" descr="ZCCM-IH LOGO 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CM-IH LOGO _jpeg"/>
                    <pic:cNvPicPr>
                      <a:picLocks noChangeAspect="1" noChangeArrowheads="1"/>
                    </pic:cNvPicPr>
                  </pic:nvPicPr>
                  <pic:blipFill>
                    <a:blip r:embed="rId5" cstate="print"/>
                    <a:srcRect/>
                    <a:stretch>
                      <a:fillRect/>
                    </a:stretch>
                  </pic:blipFill>
                  <pic:spPr bwMode="auto">
                    <a:xfrm>
                      <a:off x="0" y="0"/>
                      <a:ext cx="742950" cy="1009650"/>
                    </a:xfrm>
                    <a:prstGeom prst="rect">
                      <a:avLst/>
                    </a:prstGeom>
                    <a:noFill/>
                    <a:ln w="9525">
                      <a:noFill/>
                      <a:miter lim="800000"/>
                      <a:headEnd/>
                      <a:tailEnd/>
                    </a:ln>
                  </pic:spPr>
                </pic:pic>
              </a:graphicData>
            </a:graphic>
          </wp:anchor>
        </w:drawing>
      </w:r>
      <w:r w:rsidRPr="00E84500">
        <w:rPr>
          <w:rFonts w:ascii="Century Gothic" w:hAnsi="Century Gothic" w:cs="Century Gothic"/>
          <w:b/>
          <w:lang w:val="en-GB"/>
        </w:rPr>
        <w:t>ZCCM Investments Holdings Plc</w:t>
      </w:r>
    </w:p>
    <w:p w:rsidR="00201588" w:rsidRPr="00E84500" w:rsidRDefault="00201588" w:rsidP="00201588">
      <w:pPr>
        <w:ind w:left="2410"/>
        <w:jc w:val="both"/>
        <w:rPr>
          <w:rFonts w:ascii="Century Gothic" w:hAnsi="Century Gothic" w:cs="Century Gothic"/>
          <w:sz w:val="22"/>
          <w:szCs w:val="22"/>
          <w:lang w:val="en-GB"/>
        </w:rPr>
      </w:pPr>
      <w:r w:rsidRPr="00E84500">
        <w:rPr>
          <w:rFonts w:ascii="Century Gothic" w:hAnsi="Century Gothic" w:cs="Century Gothic"/>
          <w:sz w:val="22"/>
          <w:szCs w:val="22"/>
          <w:lang w:val="en-GB"/>
        </w:rPr>
        <w:t>Incorporated in the Republic of Zambia</w:t>
      </w:r>
    </w:p>
    <w:p w:rsidR="00201588" w:rsidRPr="00E84500" w:rsidRDefault="00201588" w:rsidP="00201588">
      <w:pPr>
        <w:jc w:val="both"/>
        <w:rPr>
          <w:rFonts w:ascii="Century Gothic" w:hAnsi="Century Gothic" w:cs="Century Gothic"/>
          <w:lang w:val="en-GB"/>
        </w:rPr>
      </w:pPr>
    </w:p>
    <w:p w:rsidR="00201588" w:rsidRPr="00E84500" w:rsidRDefault="00201588" w:rsidP="00201588">
      <w:pPr>
        <w:tabs>
          <w:tab w:val="left" w:pos="2970"/>
        </w:tabs>
        <w:jc w:val="center"/>
        <w:rPr>
          <w:rFonts w:ascii="Century Gothic" w:hAnsi="Century Gothic" w:cs="Century Gothic"/>
          <w:b/>
          <w:bCs/>
          <w:smallCaps/>
          <w:sz w:val="32"/>
          <w:lang w:val="en-GB"/>
        </w:rPr>
      </w:pPr>
      <w:r w:rsidRPr="00E84500">
        <w:rPr>
          <w:rFonts w:ascii="Century Gothic" w:hAnsi="Century Gothic" w:cs="Century Gothic"/>
          <w:b/>
          <w:bCs/>
          <w:smallCaps/>
          <w:sz w:val="32"/>
          <w:lang w:val="en-GB"/>
        </w:rPr>
        <w:t xml:space="preserve">Request for Expressions of Interest (EOI) to Update the 2017 Business Case Review for Central African Cement – </w:t>
      </w:r>
    </w:p>
    <w:p w:rsidR="00201588" w:rsidRPr="00E84500" w:rsidRDefault="00201588" w:rsidP="00201588">
      <w:pPr>
        <w:tabs>
          <w:tab w:val="left" w:pos="2970"/>
        </w:tabs>
        <w:jc w:val="center"/>
        <w:rPr>
          <w:rFonts w:ascii="Century Gothic" w:hAnsi="Century Gothic" w:cs="Century Gothic"/>
          <w:b/>
          <w:bCs/>
          <w:smallCaps/>
          <w:sz w:val="32"/>
          <w:lang w:val="en-GB"/>
        </w:rPr>
      </w:pPr>
      <w:r w:rsidRPr="00E84500">
        <w:rPr>
          <w:rFonts w:ascii="Century Gothic" w:hAnsi="Century Gothic" w:cs="Century Gothic"/>
          <w:b/>
          <w:bCs/>
          <w:smallCaps/>
          <w:sz w:val="32"/>
          <w:lang w:val="en-GB"/>
        </w:rPr>
        <w:t>Tender No.: ZCCM-IH/060/2020</w:t>
      </w:r>
    </w:p>
    <w:p w:rsidR="00201588" w:rsidRPr="00E84500" w:rsidRDefault="00201588" w:rsidP="00201588">
      <w:pPr>
        <w:tabs>
          <w:tab w:val="left" w:pos="2970"/>
        </w:tabs>
        <w:jc w:val="center"/>
        <w:rPr>
          <w:rFonts w:ascii="Century Gothic" w:hAnsi="Century Gothic" w:cs="Century Gothic"/>
          <w:b/>
          <w:bCs/>
          <w:smallCaps/>
          <w:sz w:val="32"/>
          <w:lang w:val="en-GB"/>
        </w:rPr>
      </w:pPr>
    </w:p>
    <w:p w:rsidR="00201588" w:rsidRPr="00E84500" w:rsidRDefault="00201588" w:rsidP="00201588">
      <w:pPr>
        <w:pStyle w:val="NoSpacing"/>
        <w:numPr>
          <w:ilvl w:val="0"/>
          <w:numId w:val="1"/>
        </w:numPr>
        <w:jc w:val="both"/>
        <w:rPr>
          <w:rFonts w:ascii="Century Gothic" w:hAnsi="Century Gothic"/>
          <w:b/>
          <w:sz w:val="24"/>
          <w:szCs w:val="24"/>
        </w:rPr>
      </w:pPr>
      <w:r w:rsidRPr="00E84500">
        <w:rPr>
          <w:rFonts w:ascii="Century Gothic" w:hAnsi="Century Gothic"/>
          <w:b/>
          <w:sz w:val="24"/>
          <w:szCs w:val="24"/>
        </w:rPr>
        <w:t>INTRODUCTION</w:t>
      </w:r>
    </w:p>
    <w:p w:rsidR="00201588" w:rsidRPr="00E84500" w:rsidRDefault="00201588" w:rsidP="00201588">
      <w:pPr>
        <w:pStyle w:val="NoSpacing"/>
        <w:ind w:left="720"/>
        <w:jc w:val="both"/>
        <w:rPr>
          <w:rFonts w:ascii="Century Gothic" w:hAnsi="Century Gothic"/>
          <w:sz w:val="24"/>
          <w:szCs w:val="24"/>
        </w:rPr>
      </w:pPr>
      <w:r w:rsidRPr="00E84500">
        <w:rPr>
          <w:rFonts w:ascii="Century Gothic" w:hAnsi="Century Gothic"/>
          <w:sz w:val="24"/>
          <w:szCs w:val="24"/>
        </w:rPr>
        <w:t xml:space="preserve">ZCCM Investments Holdings PLC (“ZCCM-IH” or “the Company”) is an investments holdings company primarily holding key minority interests across the mining industry in Zambia. ZCCM-IH also has significant investments in diversified energy entities through strategic minority interests in Copperbelt Energy Corporation PLC (“CEC”). CEC is a power distribution and generation company that supplies power to all the major mines in Zambia and is listed on the Lusaka Securities Exchange. The </w:t>
      </w:r>
      <w:r w:rsidRPr="00E84500">
        <w:rPr>
          <w:rFonts w:ascii="Century Gothic" w:hAnsi="Century Gothic"/>
          <w:sz w:val="24"/>
          <w:szCs w:val="24"/>
          <w:lang w:val="en-GB"/>
        </w:rPr>
        <w:t xml:space="preserve">Company also has shares in </w:t>
      </w:r>
      <w:r w:rsidRPr="00E84500">
        <w:rPr>
          <w:rFonts w:ascii="Century Gothic" w:hAnsi="Century Gothic"/>
          <w:sz w:val="24"/>
          <w:szCs w:val="24"/>
        </w:rPr>
        <w:t>Maamba Collieries Limited, the largest producer</w:t>
      </w:r>
      <w:r w:rsidRPr="00E84500">
        <w:rPr>
          <w:rFonts w:ascii="Century Gothic" w:hAnsi="Century Gothic"/>
          <w:sz w:val="24"/>
          <w:szCs w:val="24"/>
          <w:lang w:val="en-GB"/>
        </w:rPr>
        <w:t xml:space="preserve"> of coal</w:t>
      </w:r>
      <w:r w:rsidRPr="00E84500">
        <w:rPr>
          <w:rFonts w:ascii="Century Gothic" w:hAnsi="Century Gothic"/>
          <w:sz w:val="24"/>
          <w:szCs w:val="24"/>
        </w:rPr>
        <w:t xml:space="preserve"> in Zambia which operates a 300 megawatts thermal power plant. The Company also has </w:t>
      </w:r>
      <w:r w:rsidRPr="00E84500">
        <w:rPr>
          <w:rFonts w:ascii="Century Gothic" w:hAnsi="Century Gothic"/>
          <w:sz w:val="24"/>
          <w:szCs w:val="24"/>
          <w:lang w:val="en-GB"/>
        </w:rPr>
        <w:t xml:space="preserve">investments and </w:t>
      </w:r>
      <w:r w:rsidRPr="00E84500">
        <w:rPr>
          <w:rFonts w:ascii="Century Gothic" w:hAnsi="Century Gothic"/>
          <w:sz w:val="24"/>
          <w:szCs w:val="24"/>
        </w:rPr>
        <w:t xml:space="preserve">exposure in financial services and </w:t>
      </w:r>
      <w:r w:rsidRPr="00E84500">
        <w:rPr>
          <w:rFonts w:ascii="Century Gothic" w:hAnsi="Century Gothic"/>
          <w:sz w:val="24"/>
          <w:szCs w:val="24"/>
          <w:lang w:val="en-GB"/>
        </w:rPr>
        <w:t xml:space="preserve">the </w:t>
      </w:r>
      <w:r w:rsidRPr="00E84500">
        <w:rPr>
          <w:rFonts w:ascii="Century Gothic" w:hAnsi="Century Gothic"/>
          <w:sz w:val="24"/>
          <w:szCs w:val="24"/>
        </w:rPr>
        <w:t xml:space="preserve">real estate sector. </w:t>
      </w:r>
    </w:p>
    <w:p w:rsidR="00201588" w:rsidRPr="00E84500" w:rsidRDefault="00201588" w:rsidP="00201588">
      <w:pPr>
        <w:pStyle w:val="NoSpacing"/>
        <w:ind w:left="720"/>
        <w:jc w:val="both"/>
        <w:rPr>
          <w:rFonts w:ascii="Century Gothic" w:hAnsi="Century Gothic"/>
          <w:sz w:val="24"/>
          <w:szCs w:val="24"/>
        </w:rPr>
      </w:pPr>
      <w:r w:rsidRPr="00E84500">
        <w:rPr>
          <w:rFonts w:ascii="Century Gothic" w:hAnsi="Century Gothic"/>
          <w:sz w:val="24"/>
          <w:szCs w:val="24"/>
          <w:lang w:val="en-GB"/>
        </w:rPr>
        <w:t xml:space="preserve">ZCCM-IH </w:t>
      </w:r>
      <w:r w:rsidRPr="00E84500">
        <w:rPr>
          <w:rFonts w:ascii="Century Gothic" w:hAnsi="Century Gothic"/>
          <w:sz w:val="24"/>
          <w:szCs w:val="24"/>
        </w:rPr>
        <w:t>has a primary listing on the Lusaka Securities Exchange (“LuSE”), and secondary listings on the Paris, Euronext and London Stock Exchange (“LSE”).</w:t>
      </w:r>
    </w:p>
    <w:p w:rsidR="00201588" w:rsidRPr="00E84500" w:rsidRDefault="00201588" w:rsidP="00201588">
      <w:pPr>
        <w:pStyle w:val="NoSpacing"/>
        <w:ind w:left="720"/>
        <w:jc w:val="both"/>
        <w:rPr>
          <w:rFonts w:ascii="Century Gothic" w:hAnsi="Century Gothic"/>
          <w:sz w:val="24"/>
          <w:szCs w:val="24"/>
          <w:lang w:val="en-GB"/>
        </w:rPr>
      </w:pPr>
      <w:r w:rsidRPr="00E84500">
        <w:rPr>
          <w:rFonts w:ascii="Century Gothic" w:hAnsi="Century Gothic"/>
          <w:sz w:val="24"/>
          <w:szCs w:val="24"/>
          <w:lang w:val="en-GB"/>
        </w:rPr>
        <w:t xml:space="preserve"> </w:t>
      </w:r>
    </w:p>
    <w:p w:rsidR="00201588" w:rsidRPr="00E84500" w:rsidRDefault="00201588" w:rsidP="00201588">
      <w:pPr>
        <w:pStyle w:val="NoSpacing"/>
        <w:numPr>
          <w:ilvl w:val="0"/>
          <w:numId w:val="1"/>
        </w:numPr>
        <w:jc w:val="both"/>
        <w:rPr>
          <w:rFonts w:ascii="Century Gothic" w:hAnsi="Century Gothic"/>
          <w:b/>
          <w:sz w:val="24"/>
          <w:szCs w:val="24"/>
        </w:rPr>
      </w:pPr>
      <w:r w:rsidRPr="00E84500">
        <w:rPr>
          <w:rFonts w:ascii="Century Gothic" w:hAnsi="Century Gothic"/>
          <w:b/>
          <w:sz w:val="24"/>
          <w:szCs w:val="24"/>
        </w:rPr>
        <w:t>BACKGROUND</w:t>
      </w:r>
    </w:p>
    <w:p w:rsidR="00201588" w:rsidRPr="00E84500" w:rsidRDefault="00201588" w:rsidP="00201588">
      <w:pPr>
        <w:ind w:left="720"/>
        <w:jc w:val="both"/>
        <w:rPr>
          <w:rFonts w:ascii="Century Gothic" w:hAnsi="Century Gothic"/>
        </w:rPr>
      </w:pPr>
      <w:r w:rsidRPr="00E84500">
        <w:rPr>
          <w:rFonts w:ascii="Century Gothic" w:hAnsi="Century Gothic"/>
        </w:rPr>
        <w:t xml:space="preserve">In 2017, the 2014 Central African Cement Company Limited (CAC) Business Case of the Cement Project (“Business Case”) located in the Maisiti District, Ndola, was reviewed and updated. The review process confirmed the viability of the Cement Project and hence the Cement Project proceeded. Given </w:t>
      </w:r>
      <w:r w:rsidRPr="00E84500">
        <w:rPr>
          <w:rFonts w:ascii="Century Gothic" w:hAnsi="Century Gothic"/>
          <w:bCs/>
        </w:rPr>
        <w:t xml:space="preserve">the delay (arising from meeting statutory requirements) </w:t>
      </w:r>
      <w:r w:rsidRPr="00E84500">
        <w:rPr>
          <w:rFonts w:ascii="Century Gothic" w:hAnsi="Century Gothic"/>
        </w:rPr>
        <w:t>in the commencement of construction of the CAC cement plant, there is a requirement that the CAC 2017 Business Case be reviewed yet again.</w:t>
      </w:r>
    </w:p>
    <w:p w:rsidR="00201588" w:rsidRPr="00E84500" w:rsidRDefault="00201588" w:rsidP="00201588">
      <w:pPr>
        <w:ind w:left="720"/>
        <w:jc w:val="both"/>
        <w:rPr>
          <w:rFonts w:ascii="Century Gothic" w:hAnsi="Century Gothic"/>
        </w:rPr>
      </w:pPr>
    </w:p>
    <w:p w:rsidR="00201588" w:rsidRPr="00E84500" w:rsidRDefault="00201588" w:rsidP="00201588">
      <w:pPr>
        <w:ind w:left="720"/>
        <w:jc w:val="both"/>
        <w:rPr>
          <w:rFonts w:ascii="Century Gothic" w:hAnsi="Century Gothic"/>
        </w:rPr>
      </w:pPr>
      <w:r w:rsidRPr="00E84500">
        <w:rPr>
          <w:rFonts w:ascii="Century Gothic" w:hAnsi="Century Gothic"/>
          <w:lang w:val="en-GB"/>
        </w:rPr>
        <w:t>Therefore, it has now become critical to review the viability of the Cement Project including its concept as the competition from other cement producers is expected to have risen and market dynamics changed since the last Business Case review.</w:t>
      </w:r>
    </w:p>
    <w:p w:rsidR="00201588" w:rsidRPr="00E84500" w:rsidRDefault="00201588" w:rsidP="00201588">
      <w:pPr>
        <w:ind w:left="720"/>
        <w:jc w:val="both"/>
        <w:rPr>
          <w:rFonts w:ascii="Century Gothic" w:hAnsi="Century Gothic"/>
          <w:lang w:val="en-GB"/>
        </w:rPr>
      </w:pPr>
    </w:p>
    <w:p w:rsidR="00201588" w:rsidRPr="00E84500" w:rsidRDefault="00201588" w:rsidP="00201588">
      <w:pPr>
        <w:ind w:left="720"/>
        <w:jc w:val="both"/>
        <w:rPr>
          <w:rFonts w:ascii="Century Gothic" w:hAnsi="Century Gothic"/>
          <w:lang w:val="en-GB"/>
        </w:rPr>
      </w:pPr>
      <w:r w:rsidRPr="00E84500">
        <w:rPr>
          <w:rFonts w:ascii="Century Gothic" w:hAnsi="Century Gothic"/>
          <w:lang w:val="en-GB"/>
        </w:rPr>
        <w:t xml:space="preserve">The review and investigation shall include the material changes to the following factors such as </w:t>
      </w:r>
      <w:r w:rsidRPr="00E84500">
        <w:rPr>
          <w:rFonts w:ascii="Century Gothic" w:hAnsi="Century Gothic"/>
        </w:rPr>
        <w:t xml:space="preserve">pricing, demand, forex impact on the </w:t>
      </w:r>
      <w:r w:rsidRPr="00E84500">
        <w:rPr>
          <w:rFonts w:ascii="Century Gothic" w:hAnsi="Century Gothic"/>
          <w:lang w:val="en-GB"/>
        </w:rPr>
        <w:t xml:space="preserve">production cost </w:t>
      </w:r>
      <w:r w:rsidRPr="00E84500">
        <w:rPr>
          <w:rFonts w:ascii="Century Gothic" w:hAnsi="Century Gothic"/>
        </w:rPr>
        <w:t>and final pricing</w:t>
      </w:r>
      <w:r w:rsidRPr="00E84500">
        <w:rPr>
          <w:rFonts w:ascii="Century Gothic" w:hAnsi="Century Gothic"/>
          <w:lang w:val="en-GB"/>
        </w:rPr>
        <w:t>, statutory approvals and their validity and market absorption rate of cement.</w:t>
      </w:r>
    </w:p>
    <w:p w:rsidR="00201588" w:rsidRPr="00E84500" w:rsidRDefault="00201588" w:rsidP="00201588">
      <w:pPr>
        <w:ind w:left="720"/>
        <w:jc w:val="both"/>
        <w:rPr>
          <w:rFonts w:ascii="Century Gothic" w:hAnsi="Century Gothic"/>
          <w:lang w:val="en-GB"/>
        </w:rPr>
      </w:pPr>
    </w:p>
    <w:p w:rsidR="00201588" w:rsidRPr="00E84500" w:rsidRDefault="00201588" w:rsidP="00201588">
      <w:pPr>
        <w:jc w:val="both"/>
        <w:rPr>
          <w:rFonts w:ascii="Century Gothic" w:hAnsi="Century Gothic"/>
          <w:b/>
        </w:rPr>
      </w:pPr>
      <w:r w:rsidRPr="00E84500">
        <w:rPr>
          <w:rFonts w:ascii="Century Gothic" w:hAnsi="Century Gothic"/>
          <w:b/>
          <w:caps/>
        </w:rPr>
        <w:t xml:space="preserve">    3. </w:t>
      </w:r>
      <w:r w:rsidRPr="00E84500">
        <w:rPr>
          <w:rFonts w:ascii="Century Gothic" w:hAnsi="Century Gothic"/>
          <w:b/>
          <w:caps/>
        </w:rPr>
        <w:tab/>
        <w:t>Objective of the assignment</w:t>
      </w:r>
    </w:p>
    <w:p w:rsidR="00201588" w:rsidRPr="00E84500" w:rsidRDefault="00201588" w:rsidP="00201588">
      <w:pPr>
        <w:pStyle w:val="ListParagraph"/>
        <w:spacing w:after="0" w:line="240" w:lineRule="auto"/>
        <w:jc w:val="both"/>
        <w:rPr>
          <w:sz w:val="24"/>
          <w:szCs w:val="24"/>
          <w:lang w:val="en-GB"/>
        </w:rPr>
      </w:pPr>
      <w:r w:rsidRPr="00E84500">
        <w:rPr>
          <w:rFonts w:ascii="Century Gothic" w:hAnsi="Century Gothic"/>
          <w:bCs/>
          <w:sz w:val="24"/>
          <w:szCs w:val="24"/>
        </w:rPr>
        <w:t>The main objective of this assignment is to conduct a detailed review of and update the market study and commercial feasibility for the CAC Cement Project. This will involve reviewing and assessing the commercial viability of the project from market, strategic and competitive perspectives within Zambia and the region. The information generated from the market study may be used in the commercial feasibility. The consultant shall also be required to upgrade the Thermal Power Plant size from the 50MW to 200MW. This should be a standalone supplementary report.</w:t>
      </w:r>
    </w:p>
    <w:p w:rsidR="00201588" w:rsidRPr="00E84500" w:rsidRDefault="00201588" w:rsidP="00201588">
      <w:pPr>
        <w:autoSpaceDE w:val="0"/>
        <w:autoSpaceDN w:val="0"/>
        <w:adjustRightInd w:val="0"/>
        <w:spacing w:before="100" w:beforeAutospacing="1" w:after="100" w:afterAutospacing="1"/>
        <w:ind w:left="720"/>
        <w:jc w:val="both"/>
        <w:rPr>
          <w:rFonts w:ascii="Century Gothic" w:hAnsi="Century Gothic"/>
          <w:lang w:val="en-GB"/>
        </w:rPr>
      </w:pPr>
      <w:r w:rsidRPr="00E84500">
        <w:rPr>
          <w:rFonts w:ascii="Century Gothic" w:hAnsi="Century Gothic"/>
          <w:lang w:val="en-GB"/>
        </w:rPr>
        <w:t>ZCCM-IH now wishes to engage a Consulting firm to update the 2017 Business Case Review for Central African Cement.</w:t>
      </w:r>
    </w:p>
    <w:p w:rsidR="00201588" w:rsidRPr="00E84500" w:rsidRDefault="00201588" w:rsidP="00201588">
      <w:pPr>
        <w:tabs>
          <w:tab w:val="left" w:pos="709"/>
          <w:tab w:val="left" w:pos="2970"/>
        </w:tabs>
        <w:spacing w:before="240"/>
        <w:ind w:left="709"/>
        <w:jc w:val="both"/>
        <w:rPr>
          <w:rFonts w:ascii="Century Gothic" w:hAnsi="Century Gothic"/>
        </w:rPr>
      </w:pPr>
      <w:r w:rsidRPr="00E84500">
        <w:rPr>
          <w:rFonts w:ascii="Century Gothic" w:hAnsi="Century Gothic"/>
          <w:b/>
          <w:i/>
        </w:rPr>
        <w:t>ZCCM-IH now invites eligible consultants to indicate their interest in providing the above services</w:t>
      </w:r>
      <w:r w:rsidRPr="00E84500">
        <w:rPr>
          <w:rFonts w:ascii="Century Gothic" w:hAnsi="Century Gothic"/>
        </w:rPr>
        <w:t>. Interested firms must provide information to demonstrate that they are qualified to perform the services (brochures, description of similar assignments, experience in similar conditions etc.)</w:t>
      </w:r>
    </w:p>
    <w:p w:rsidR="00201588" w:rsidRPr="00E84500" w:rsidRDefault="00201588" w:rsidP="00201588">
      <w:pPr>
        <w:suppressAutoHyphens/>
        <w:ind w:left="709"/>
        <w:jc w:val="both"/>
        <w:rPr>
          <w:rFonts w:ascii="Century Gothic" w:hAnsi="Century Gothic"/>
          <w:lang w:val="en-GB"/>
        </w:rPr>
      </w:pPr>
    </w:p>
    <w:p w:rsidR="00201588" w:rsidRPr="00E84500" w:rsidRDefault="00201588" w:rsidP="00201588">
      <w:pPr>
        <w:suppressAutoHyphens/>
        <w:ind w:left="709"/>
        <w:jc w:val="both"/>
        <w:rPr>
          <w:rFonts w:ascii="Century Gothic" w:hAnsi="Century Gothic"/>
          <w:spacing w:val="-2"/>
        </w:rPr>
      </w:pPr>
      <w:r w:rsidRPr="00E84500">
        <w:rPr>
          <w:rFonts w:ascii="Century Gothic" w:hAnsi="Century Gothic"/>
          <w:lang w:val="en-GB"/>
        </w:rPr>
        <w:t xml:space="preserve">Interested consultants may obtain further information at the address below </w:t>
      </w:r>
      <w:r w:rsidRPr="00E84500">
        <w:rPr>
          <w:rFonts w:ascii="Century Gothic" w:hAnsi="Century Gothic"/>
          <w:spacing w:val="-2"/>
        </w:rPr>
        <w:t>during office hours between</w:t>
      </w:r>
      <w:r w:rsidRPr="00E84500">
        <w:rPr>
          <w:rFonts w:ascii="Century Gothic" w:hAnsi="Century Gothic"/>
          <w:i/>
          <w:spacing w:val="-2"/>
        </w:rPr>
        <w:t xml:space="preserve"> </w:t>
      </w:r>
      <w:r w:rsidRPr="00E84500">
        <w:rPr>
          <w:rFonts w:ascii="Century Gothic" w:hAnsi="Century Gothic"/>
          <w:spacing w:val="-2"/>
        </w:rPr>
        <w:t xml:space="preserve">08:00 - 13:00 hours and between 14:00 – 17:00 hours local time from Monday to Friday. </w:t>
      </w:r>
    </w:p>
    <w:p w:rsidR="00201588" w:rsidRPr="00E84500" w:rsidRDefault="00201588" w:rsidP="00201588">
      <w:pPr>
        <w:suppressAutoHyphens/>
        <w:jc w:val="both"/>
        <w:rPr>
          <w:rFonts w:ascii="Century Gothic" w:hAnsi="Century Gothic"/>
          <w:spacing w:val="-2"/>
        </w:rPr>
      </w:pPr>
    </w:p>
    <w:p w:rsidR="00201588" w:rsidRPr="00E84500" w:rsidRDefault="00201588" w:rsidP="00201588">
      <w:pPr>
        <w:suppressAutoHyphens/>
        <w:ind w:left="709"/>
        <w:jc w:val="both"/>
        <w:rPr>
          <w:rFonts w:ascii="Century Gothic" w:hAnsi="Century Gothic" w:cs="Century Gothic"/>
          <w:b/>
        </w:rPr>
      </w:pPr>
      <w:r w:rsidRPr="00E84500">
        <w:rPr>
          <w:rFonts w:ascii="Century Gothic" w:hAnsi="Century Gothic"/>
          <w:lang w:val="en-GB"/>
        </w:rPr>
        <w:t xml:space="preserve">A consultant will be selected using </w:t>
      </w:r>
      <w:r w:rsidRPr="00E84500">
        <w:rPr>
          <w:rFonts w:ascii="Century Gothic" w:hAnsi="Century Gothic"/>
          <w:b/>
          <w:lang w:val="en-GB"/>
        </w:rPr>
        <w:t>Quality Based Selection (QBS)</w:t>
      </w:r>
      <w:r w:rsidRPr="00E84500">
        <w:rPr>
          <w:rFonts w:ascii="Century Gothic" w:hAnsi="Century Gothic"/>
          <w:lang w:val="en-GB"/>
        </w:rPr>
        <w:t xml:space="preserve"> method. Interested consultants must submit </w:t>
      </w:r>
      <w:r w:rsidRPr="00E84500">
        <w:rPr>
          <w:rFonts w:ascii="Century Gothic" w:hAnsi="Century Gothic"/>
          <w:b/>
          <w:lang w:val="en-GB"/>
        </w:rPr>
        <w:t>one (01) original and three (03) hard copies</w:t>
      </w:r>
      <w:r w:rsidRPr="00E84500">
        <w:rPr>
          <w:rFonts w:ascii="Century Gothic" w:hAnsi="Century Gothic"/>
          <w:lang w:val="en-GB"/>
        </w:rPr>
        <w:t xml:space="preserve"> of the Expression of Interest (EOIs) to the address below no later than </w:t>
      </w:r>
      <w:r w:rsidRPr="00E84500">
        <w:rPr>
          <w:rFonts w:ascii="Century Gothic" w:hAnsi="Century Gothic"/>
          <w:b/>
          <w:lang w:val="en-GB"/>
        </w:rPr>
        <w:t>Tuesday, 16</w:t>
      </w:r>
      <w:r w:rsidRPr="00E84500">
        <w:rPr>
          <w:rFonts w:ascii="Century Gothic" w:hAnsi="Century Gothic"/>
          <w:b/>
          <w:vertAlign w:val="superscript"/>
          <w:lang w:val="en-GB"/>
        </w:rPr>
        <w:t>th</w:t>
      </w:r>
      <w:r w:rsidRPr="00E84500">
        <w:rPr>
          <w:rFonts w:ascii="Century Gothic" w:hAnsi="Century Gothic"/>
          <w:b/>
          <w:lang w:val="en-GB"/>
        </w:rPr>
        <w:t xml:space="preserve"> June </w:t>
      </w:r>
      <w:r w:rsidRPr="00E84500">
        <w:rPr>
          <w:rFonts w:ascii="Century Gothic" w:hAnsi="Century Gothic" w:cs="Century Gothic"/>
          <w:b/>
        </w:rPr>
        <w:t>2020.</w:t>
      </w:r>
    </w:p>
    <w:p w:rsidR="00201588" w:rsidRPr="00E84500" w:rsidRDefault="00201588" w:rsidP="00201588">
      <w:pPr>
        <w:jc w:val="both"/>
        <w:rPr>
          <w:rFonts w:ascii="Century Gothic" w:hAnsi="Century Gothic" w:cs="Century Gothic"/>
          <w:lang w:val="en-GB"/>
        </w:rPr>
      </w:pPr>
    </w:p>
    <w:p w:rsidR="00201588" w:rsidRPr="00E84500" w:rsidRDefault="00201588" w:rsidP="00201588">
      <w:pPr>
        <w:jc w:val="both"/>
        <w:rPr>
          <w:rFonts w:ascii="Century Gothic" w:hAnsi="Century Gothic" w:cs="Century Gothic"/>
          <w:lang w:val="en-GB"/>
        </w:rPr>
      </w:pPr>
    </w:p>
    <w:p w:rsidR="00201588" w:rsidRPr="00E84500" w:rsidRDefault="00201588" w:rsidP="00201588">
      <w:pPr>
        <w:ind w:left="709"/>
        <w:jc w:val="both"/>
        <w:rPr>
          <w:rFonts w:ascii="Century Gothic" w:hAnsi="Century Gothic" w:cs="Century Gothic"/>
          <w:lang w:val="en-GB"/>
        </w:rPr>
      </w:pPr>
      <w:r w:rsidRPr="00E84500">
        <w:rPr>
          <w:rFonts w:ascii="Century Gothic" w:hAnsi="Century Gothic" w:cs="Century Gothic"/>
          <w:lang w:val="en-GB"/>
        </w:rPr>
        <w:t>Procurement Manager</w:t>
      </w:r>
    </w:p>
    <w:p w:rsidR="00201588" w:rsidRPr="00E84500" w:rsidRDefault="00201588" w:rsidP="00201588">
      <w:pPr>
        <w:ind w:left="709"/>
        <w:jc w:val="both"/>
        <w:rPr>
          <w:rFonts w:ascii="Century Gothic" w:hAnsi="Century Gothic" w:cs="Century Gothic"/>
          <w:lang w:val="en-GB"/>
        </w:rPr>
      </w:pPr>
      <w:r w:rsidRPr="00E84500">
        <w:rPr>
          <w:rFonts w:ascii="Century Gothic" w:hAnsi="Century Gothic" w:cs="Century Gothic"/>
          <w:lang w:val="en-GB"/>
        </w:rPr>
        <w:t>ZCCM Investments Holdings Plc</w:t>
      </w:r>
    </w:p>
    <w:p w:rsidR="00201588" w:rsidRPr="00E84500" w:rsidRDefault="00201588" w:rsidP="00201588">
      <w:pPr>
        <w:ind w:left="709"/>
        <w:jc w:val="both"/>
        <w:rPr>
          <w:rFonts w:ascii="Century Gothic" w:hAnsi="Century Gothic" w:cs="Century Gothic"/>
          <w:lang w:val="en-GB"/>
        </w:rPr>
      </w:pPr>
      <w:r w:rsidRPr="00E84500">
        <w:rPr>
          <w:rFonts w:ascii="Century Gothic" w:hAnsi="Century Gothic" w:cs="Century Gothic"/>
          <w:lang w:val="en-GB"/>
        </w:rPr>
        <w:t>ZCCM-IH Office Park</w:t>
      </w:r>
    </w:p>
    <w:p w:rsidR="00201588" w:rsidRPr="00E84500" w:rsidRDefault="00201588" w:rsidP="00201588">
      <w:pPr>
        <w:ind w:left="709"/>
        <w:jc w:val="both"/>
        <w:rPr>
          <w:rFonts w:ascii="Century Gothic" w:hAnsi="Century Gothic" w:cs="Century Gothic"/>
          <w:lang w:val="en-GB"/>
        </w:rPr>
      </w:pPr>
      <w:r w:rsidRPr="00E84500">
        <w:rPr>
          <w:rFonts w:ascii="Century Gothic" w:hAnsi="Century Gothic" w:cs="Century Gothic"/>
          <w:lang w:val="en-GB"/>
        </w:rPr>
        <w:t xml:space="preserve">Stand No. 16806, Alick Nkhata Road </w:t>
      </w:r>
    </w:p>
    <w:p w:rsidR="00201588" w:rsidRPr="00E84500" w:rsidRDefault="00201588" w:rsidP="00201588">
      <w:pPr>
        <w:ind w:left="709"/>
        <w:jc w:val="both"/>
        <w:rPr>
          <w:rFonts w:ascii="Century Gothic" w:hAnsi="Century Gothic" w:cs="Century Gothic"/>
          <w:lang w:val="en-GB"/>
        </w:rPr>
      </w:pPr>
      <w:r w:rsidRPr="00E84500">
        <w:rPr>
          <w:rFonts w:ascii="Century Gothic" w:hAnsi="Century Gothic" w:cs="Century Gothic"/>
          <w:lang w:val="en-GB"/>
        </w:rPr>
        <w:t>Mass Media Complex Area</w:t>
      </w:r>
    </w:p>
    <w:p w:rsidR="00201588" w:rsidRPr="00E84500" w:rsidRDefault="00201588" w:rsidP="00201588">
      <w:pPr>
        <w:ind w:left="709"/>
        <w:jc w:val="both"/>
        <w:rPr>
          <w:rFonts w:ascii="Century Gothic" w:hAnsi="Century Gothic" w:cs="Century Gothic"/>
          <w:lang w:val="en-GB"/>
        </w:rPr>
      </w:pPr>
      <w:r w:rsidRPr="00E84500">
        <w:rPr>
          <w:rFonts w:ascii="Century Gothic" w:hAnsi="Century Gothic" w:cs="Century Gothic"/>
          <w:lang w:val="en-GB"/>
        </w:rPr>
        <w:t>P.O. Box 30048</w:t>
      </w:r>
    </w:p>
    <w:p w:rsidR="00201588" w:rsidRPr="00E84500" w:rsidRDefault="00201588" w:rsidP="00201588">
      <w:pPr>
        <w:pStyle w:val="Title"/>
        <w:tabs>
          <w:tab w:val="center" w:pos="4370"/>
          <w:tab w:val="left" w:pos="7320"/>
        </w:tabs>
        <w:ind w:left="709"/>
        <w:jc w:val="both"/>
        <w:rPr>
          <w:rFonts w:ascii="Century Gothic" w:hAnsi="Century Gothic" w:cs="Century Gothic"/>
          <w:b/>
          <w:bCs/>
        </w:rPr>
      </w:pPr>
      <w:r w:rsidRPr="00E84500">
        <w:rPr>
          <w:rFonts w:ascii="Century Gothic" w:hAnsi="Century Gothic" w:cs="Century Gothic"/>
          <w:b/>
          <w:bCs/>
          <w:lang w:val="en-GB"/>
        </w:rPr>
        <w:t>Lusaka.</w:t>
      </w:r>
    </w:p>
    <w:p w:rsidR="00201588" w:rsidRPr="00307931" w:rsidRDefault="00201588" w:rsidP="00201588">
      <w:pPr>
        <w:ind w:left="709"/>
        <w:jc w:val="both"/>
        <w:rPr>
          <w:rFonts w:ascii="Century Gothic" w:hAnsi="Century Gothic"/>
        </w:rPr>
      </w:pPr>
      <w:r w:rsidRPr="00E84500">
        <w:rPr>
          <w:rFonts w:ascii="Century Gothic" w:hAnsi="Century Gothic"/>
        </w:rPr>
        <w:t xml:space="preserve">Email: </w:t>
      </w:r>
      <w:hyperlink r:id="rId6" w:history="1">
        <w:r w:rsidRPr="00E84500">
          <w:rPr>
            <w:rStyle w:val="Hyperlink"/>
            <w:rFonts w:ascii="Century Gothic" w:hAnsi="Century Gothic"/>
          </w:rPr>
          <w:t>kabwek@zccm-ih.com.zm</w:t>
        </w:r>
      </w:hyperlink>
    </w:p>
    <w:p w:rsidR="009F67A5" w:rsidRDefault="009F67A5"/>
    <w:sectPr w:rsidR="009F67A5" w:rsidSect="00FE4087">
      <w:pgSz w:w="12240" w:h="15840"/>
      <w:pgMar w:top="1276" w:right="1183"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A4CF1"/>
    <w:multiLevelType w:val="multilevel"/>
    <w:tmpl w:val="42365F3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588"/>
    <w:rsid w:val="00201588"/>
    <w:rsid w:val="008F76A8"/>
    <w:rsid w:val="009F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74BA8-F1E3-4761-AE78-F7ABD830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01588"/>
    <w:pPr>
      <w:jc w:val="center"/>
    </w:pPr>
    <w:rPr>
      <w:rFonts w:ascii="Albertus Medium" w:hAnsi="Albertus Medium" w:cs="Albertus Medium"/>
    </w:rPr>
  </w:style>
  <w:style w:type="character" w:customStyle="1" w:styleId="TitleChar">
    <w:name w:val="Title Char"/>
    <w:basedOn w:val="DefaultParagraphFont"/>
    <w:link w:val="Title"/>
    <w:uiPriority w:val="99"/>
    <w:rsid w:val="00201588"/>
    <w:rPr>
      <w:rFonts w:ascii="Albertus Medium" w:eastAsia="Times New Roman" w:hAnsi="Albertus Medium" w:cs="Albertus Medium"/>
      <w:sz w:val="24"/>
      <w:szCs w:val="24"/>
    </w:rPr>
  </w:style>
  <w:style w:type="character" w:styleId="Hyperlink">
    <w:name w:val="Hyperlink"/>
    <w:basedOn w:val="DefaultParagraphFont"/>
    <w:uiPriority w:val="99"/>
    <w:unhideWhenUsed/>
    <w:rsid w:val="00201588"/>
    <w:rPr>
      <w:color w:val="0563C1" w:themeColor="hyperlink"/>
      <w:u w:val="single"/>
    </w:rPr>
  </w:style>
  <w:style w:type="paragraph" w:styleId="ListParagraph">
    <w:name w:val="List Paragraph"/>
    <w:basedOn w:val="Normal"/>
    <w:uiPriority w:val="34"/>
    <w:qFormat/>
    <w:rsid w:val="00201588"/>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0158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bwek@zccm-ih.com.z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Katongo Kabwe</dc:creator>
  <cp:keywords/>
  <dc:description/>
  <cp:lastModifiedBy>Katongo Kabwe</cp:lastModifiedBy>
  <cp:revision>1</cp:revision>
  <dcterms:created xsi:type="dcterms:W3CDTF">2020-05-27T16:46:00Z</dcterms:created>
  <dcterms:modified xsi:type="dcterms:W3CDTF">2020-05-27T16:48:00Z</dcterms:modified>
</cp:coreProperties>
</file>