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B5BF" w14:textId="77777777" w:rsidR="009A2438" w:rsidRPr="00C03E9D" w:rsidRDefault="009A2438" w:rsidP="00AC4A48">
      <w:pPr>
        <w:pStyle w:val="Title"/>
        <w:tabs>
          <w:tab w:val="center" w:pos="4370"/>
          <w:tab w:val="left" w:pos="7320"/>
        </w:tabs>
        <w:ind w:left="2835"/>
        <w:jc w:val="both"/>
        <w:rPr>
          <w:rFonts w:ascii="Century Gothic" w:hAnsi="Century Gothic" w:cs="Century Gothic"/>
          <w:b/>
          <w:lang w:val="en-GB"/>
        </w:rPr>
      </w:pPr>
      <w:r w:rsidRPr="00C03E9D">
        <w:rPr>
          <w:rFonts w:ascii="Century Gothic" w:hAnsi="Century Gothic"/>
          <w:b/>
          <w:noProof/>
        </w:rPr>
        <w:drawing>
          <wp:anchor distT="0" distB="0" distL="114300" distR="114300" simplePos="0" relativeHeight="251660288" behindDoc="0" locked="0" layoutInCell="0" allowOverlap="1" wp14:anchorId="18B3DA97" wp14:editId="46D589A1">
            <wp:simplePos x="0" y="0"/>
            <wp:positionH relativeFrom="column">
              <wp:posOffset>2543175</wp:posOffset>
            </wp:positionH>
            <wp:positionV relativeFrom="paragraph">
              <wp:posOffset>-257175</wp:posOffset>
            </wp:positionV>
            <wp:extent cx="742950" cy="1009650"/>
            <wp:effectExtent l="19050" t="0" r="0" b="0"/>
            <wp:wrapTopAndBottom/>
            <wp:docPr id="2" name="Picture 2" descr="ZCCM-IH LOGO 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CM-IH LOGO _jpeg"/>
                    <pic:cNvPicPr>
                      <a:picLocks noChangeAspect="1" noChangeArrowheads="1"/>
                    </pic:cNvPicPr>
                  </pic:nvPicPr>
                  <pic:blipFill>
                    <a:blip r:embed="rId5" cstate="print"/>
                    <a:srcRect/>
                    <a:stretch>
                      <a:fillRect/>
                    </a:stretch>
                  </pic:blipFill>
                  <pic:spPr bwMode="auto">
                    <a:xfrm>
                      <a:off x="0" y="0"/>
                      <a:ext cx="742950" cy="1009650"/>
                    </a:xfrm>
                    <a:prstGeom prst="rect">
                      <a:avLst/>
                    </a:prstGeom>
                    <a:noFill/>
                    <a:ln w="9525">
                      <a:noFill/>
                      <a:miter lim="800000"/>
                      <a:headEnd/>
                      <a:tailEnd/>
                    </a:ln>
                  </pic:spPr>
                </pic:pic>
              </a:graphicData>
            </a:graphic>
          </wp:anchor>
        </w:drawing>
      </w:r>
      <w:r w:rsidRPr="00C03E9D">
        <w:rPr>
          <w:rFonts w:ascii="Century Gothic" w:hAnsi="Century Gothic" w:cs="Century Gothic"/>
          <w:b/>
          <w:lang w:val="en-GB"/>
        </w:rPr>
        <w:t>ZCCM Investments Holdings Plc</w:t>
      </w:r>
    </w:p>
    <w:p w14:paraId="722F446A" w14:textId="77777777" w:rsidR="009A2438" w:rsidRPr="00C03E9D" w:rsidRDefault="009A2438" w:rsidP="00AC4A48">
      <w:pPr>
        <w:ind w:left="2410"/>
        <w:jc w:val="both"/>
        <w:rPr>
          <w:rFonts w:ascii="Century Gothic" w:hAnsi="Century Gothic" w:cs="Century Gothic"/>
          <w:sz w:val="22"/>
          <w:szCs w:val="22"/>
          <w:lang w:val="en-GB"/>
        </w:rPr>
      </w:pPr>
      <w:r w:rsidRPr="00C03E9D">
        <w:rPr>
          <w:rFonts w:ascii="Century Gothic" w:hAnsi="Century Gothic" w:cs="Century Gothic"/>
          <w:sz w:val="22"/>
          <w:szCs w:val="22"/>
          <w:lang w:val="en-GB"/>
        </w:rPr>
        <w:t>Incorporated in the Republic of Zambia</w:t>
      </w:r>
    </w:p>
    <w:p w14:paraId="1A608328" w14:textId="77777777" w:rsidR="009A2438" w:rsidRPr="007E6976" w:rsidRDefault="009A2438" w:rsidP="00206DE7">
      <w:pPr>
        <w:jc w:val="both"/>
        <w:rPr>
          <w:rFonts w:ascii="Century Gothic" w:hAnsi="Century Gothic" w:cs="Century Gothic"/>
          <w:lang w:val="en-GB"/>
        </w:rPr>
      </w:pPr>
    </w:p>
    <w:p w14:paraId="039457B2" w14:textId="5E760941" w:rsidR="009A2438" w:rsidRDefault="00331111" w:rsidP="00206DE7">
      <w:pPr>
        <w:tabs>
          <w:tab w:val="left" w:pos="2970"/>
        </w:tabs>
        <w:jc w:val="both"/>
        <w:rPr>
          <w:rFonts w:ascii="Century Gothic" w:hAnsi="Century Gothic" w:cs="Century Gothic"/>
          <w:b/>
          <w:bCs/>
          <w:smallCaps/>
          <w:sz w:val="28"/>
          <w:lang w:val="en-GB"/>
        </w:rPr>
      </w:pPr>
      <w:r>
        <w:rPr>
          <w:rFonts w:ascii="Century Gothic" w:hAnsi="Century Gothic" w:cs="Century Gothic"/>
          <w:b/>
          <w:bCs/>
          <w:smallCaps/>
          <w:sz w:val="28"/>
          <w:lang w:val="en-GB"/>
        </w:rPr>
        <w:t xml:space="preserve">Request for </w:t>
      </w:r>
      <w:r w:rsidR="009A2438" w:rsidRPr="007E6976">
        <w:rPr>
          <w:rFonts w:ascii="Century Gothic" w:hAnsi="Century Gothic" w:cs="Century Gothic"/>
          <w:b/>
          <w:bCs/>
          <w:smallCaps/>
          <w:sz w:val="28"/>
          <w:lang w:val="en-GB"/>
        </w:rPr>
        <w:t>E</w:t>
      </w:r>
      <w:r w:rsidR="009950EB" w:rsidRPr="007E6976">
        <w:rPr>
          <w:rFonts w:ascii="Century Gothic" w:hAnsi="Century Gothic" w:cs="Century Gothic"/>
          <w:b/>
          <w:bCs/>
          <w:smallCaps/>
          <w:sz w:val="28"/>
          <w:lang w:val="en-GB"/>
        </w:rPr>
        <w:t>xpression</w:t>
      </w:r>
      <w:r>
        <w:rPr>
          <w:rFonts w:ascii="Century Gothic" w:hAnsi="Century Gothic" w:cs="Century Gothic"/>
          <w:b/>
          <w:bCs/>
          <w:smallCaps/>
          <w:sz w:val="28"/>
          <w:lang w:val="en-GB"/>
        </w:rPr>
        <w:t>s</w:t>
      </w:r>
      <w:r w:rsidR="009A2438" w:rsidRPr="007E6976">
        <w:rPr>
          <w:rFonts w:ascii="Century Gothic" w:hAnsi="Century Gothic" w:cs="Century Gothic"/>
          <w:b/>
          <w:bCs/>
          <w:smallCaps/>
          <w:sz w:val="28"/>
          <w:lang w:val="en-GB"/>
        </w:rPr>
        <w:t xml:space="preserve"> </w:t>
      </w:r>
      <w:r w:rsidR="009950EB" w:rsidRPr="007E6976">
        <w:rPr>
          <w:rFonts w:ascii="Century Gothic" w:hAnsi="Century Gothic" w:cs="Century Gothic"/>
          <w:b/>
          <w:bCs/>
          <w:smallCaps/>
          <w:sz w:val="28"/>
          <w:lang w:val="en-GB"/>
        </w:rPr>
        <w:t>of</w:t>
      </w:r>
      <w:r w:rsidR="009A2438" w:rsidRPr="007E6976">
        <w:rPr>
          <w:rFonts w:ascii="Century Gothic" w:hAnsi="Century Gothic" w:cs="Century Gothic"/>
          <w:b/>
          <w:bCs/>
          <w:smallCaps/>
          <w:sz w:val="28"/>
          <w:lang w:val="en-GB"/>
        </w:rPr>
        <w:t xml:space="preserve"> I</w:t>
      </w:r>
      <w:r w:rsidR="009950EB" w:rsidRPr="007E6976">
        <w:rPr>
          <w:rFonts w:ascii="Century Gothic" w:hAnsi="Century Gothic" w:cs="Century Gothic"/>
          <w:b/>
          <w:bCs/>
          <w:smallCaps/>
          <w:sz w:val="28"/>
          <w:lang w:val="en-GB"/>
        </w:rPr>
        <w:t>nterest</w:t>
      </w:r>
      <w:r w:rsidR="009A2438" w:rsidRPr="007E6976">
        <w:rPr>
          <w:rFonts w:ascii="Century Gothic" w:hAnsi="Century Gothic" w:cs="Century Gothic"/>
          <w:b/>
          <w:bCs/>
          <w:smallCaps/>
          <w:sz w:val="28"/>
          <w:lang w:val="en-GB"/>
        </w:rPr>
        <w:t xml:space="preserve"> </w:t>
      </w:r>
      <w:r w:rsidR="00DC791A" w:rsidRPr="007E6976">
        <w:rPr>
          <w:rFonts w:ascii="Century Gothic" w:hAnsi="Century Gothic" w:cs="Century Gothic"/>
          <w:b/>
          <w:bCs/>
          <w:smallCaps/>
          <w:sz w:val="28"/>
          <w:lang w:val="en-GB"/>
        </w:rPr>
        <w:t xml:space="preserve">(EOI) </w:t>
      </w:r>
      <w:r w:rsidR="009950EB" w:rsidRPr="007E6976">
        <w:rPr>
          <w:rFonts w:ascii="Century Gothic" w:hAnsi="Century Gothic" w:cs="Century Gothic"/>
          <w:b/>
          <w:bCs/>
          <w:smallCaps/>
          <w:sz w:val="28"/>
          <w:lang w:val="en-GB"/>
        </w:rPr>
        <w:t xml:space="preserve">for </w:t>
      </w:r>
      <w:r w:rsidR="006F3A72">
        <w:rPr>
          <w:rFonts w:ascii="Century Gothic" w:hAnsi="Century Gothic" w:cs="Century Gothic"/>
          <w:b/>
          <w:bCs/>
          <w:smallCaps/>
          <w:sz w:val="28"/>
          <w:lang w:val="en-GB"/>
        </w:rPr>
        <w:t xml:space="preserve">the </w:t>
      </w:r>
      <w:r w:rsidR="00826343">
        <w:rPr>
          <w:rFonts w:ascii="Century Gothic" w:hAnsi="Century Gothic" w:cs="Century Gothic"/>
          <w:b/>
          <w:bCs/>
          <w:smallCaps/>
          <w:sz w:val="28"/>
          <w:lang w:val="en-GB"/>
        </w:rPr>
        <w:t>Independent Assessment of ZCCM-IH’s Environmental Liabilities</w:t>
      </w:r>
      <w:r w:rsidR="00E17F1B">
        <w:rPr>
          <w:rFonts w:ascii="Century Gothic" w:hAnsi="Century Gothic" w:cs="Century Gothic"/>
          <w:b/>
          <w:bCs/>
          <w:smallCaps/>
          <w:sz w:val="28"/>
          <w:lang w:val="en-GB"/>
        </w:rPr>
        <w:t>, Contract No.</w:t>
      </w:r>
      <w:r w:rsidR="00F13EB4">
        <w:rPr>
          <w:rFonts w:ascii="Century Gothic" w:hAnsi="Century Gothic" w:cs="Century Gothic"/>
          <w:b/>
          <w:bCs/>
          <w:smallCaps/>
          <w:sz w:val="28"/>
          <w:lang w:val="en-GB"/>
        </w:rPr>
        <w:t xml:space="preserve">: </w:t>
      </w:r>
      <w:r w:rsidR="00E17F1B">
        <w:rPr>
          <w:rFonts w:ascii="Century Gothic" w:hAnsi="Century Gothic" w:cs="Century Gothic"/>
          <w:b/>
          <w:bCs/>
          <w:smallCaps/>
          <w:sz w:val="28"/>
          <w:lang w:val="en-GB"/>
        </w:rPr>
        <w:t>ZCCM-IH/</w:t>
      </w:r>
      <w:r w:rsidR="00CF293E">
        <w:rPr>
          <w:rFonts w:ascii="Century Gothic" w:hAnsi="Century Gothic" w:cs="Century Gothic"/>
          <w:b/>
          <w:bCs/>
          <w:smallCaps/>
          <w:sz w:val="28"/>
          <w:lang w:val="en-GB"/>
        </w:rPr>
        <w:t>0</w:t>
      </w:r>
      <w:r w:rsidR="00A767BB">
        <w:rPr>
          <w:rFonts w:ascii="Century Gothic" w:hAnsi="Century Gothic" w:cs="Century Gothic"/>
          <w:b/>
          <w:bCs/>
          <w:smallCaps/>
          <w:sz w:val="28"/>
          <w:lang w:val="en-GB"/>
        </w:rPr>
        <w:t>4</w:t>
      </w:r>
      <w:r w:rsidR="00BB15F9">
        <w:rPr>
          <w:rFonts w:ascii="Century Gothic" w:hAnsi="Century Gothic" w:cs="Century Gothic"/>
          <w:b/>
          <w:bCs/>
          <w:smallCaps/>
          <w:sz w:val="28"/>
          <w:lang w:val="en-GB"/>
        </w:rPr>
        <w:t>8</w:t>
      </w:r>
      <w:r w:rsidR="00CF293E">
        <w:rPr>
          <w:rFonts w:ascii="Century Gothic" w:hAnsi="Century Gothic" w:cs="Century Gothic"/>
          <w:b/>
          <w:bCs/>
          <w:smallCaps/>
          <w:sz w:val="28"/>
          <w:lang w:val="en-GB"/>
        </w:rPr>
        <w:t>/20</w:t>
      </w:r>
      <w:r w:rsidR="00A767BB">
        <w:rPr>
          <w:rFonts w:ascii="Century Gothic" w:hAnsi="Century Gothic" w:cs="Century Gothic"/>
          <w:b/>
          <w:bCs/>
          <w:smallCaps/>
          <w:sz w:val="28"/>
          <w:lang w:val="en-GB"/>
        </w:rPr>
        <w:t>20</w:t>
      </w:r>
    </w:p>
    <w:p w14:paraId="586EEAFB" w14:textId="77777777" w:rsidR="00103921" w:rsidRDefault="00103921" w:rsidP="00206DE7">
      <w:pPr>
        <w:tabs>
          <w:tab w:val="left" w:pos="2970"/>
        </w:tabs>
        <w:jc w:val="both"/>
        <w:rPr>
          <w:rFonts w:ascii="Century Gothic" w:hAnsi="Century Gothic" w:cs="Century Gothic"/>
          <w:b/>
          <w:bCs/>
          <w:smallCaps/>
          <w:sz w:val="28"/>
          <w:lang w:val="en-GB"/>
        </w:rPr>
      </w:pPr>
    </w:p>
    <w:p w14:paraId="7EFDA3D7" w14:textId="77777777" w:rsidR="00D50792" w:rsidRPr="00D50792" w:rsidRDefault="00D50792" w:rsidP="00103921">
      <w:pPr>
        <w:jc w:val="both"/>
        <w:rPr>
          <w:rFonts w:ascii="Century Gothic" w:hAnsi="Century Gothic"/>
          <w:b/>
          <w:lang w:val="en-GB"/>
        </w:rPr>
      </w:pPr>
      <w:r w:rsidRPr="00D50792">
        <w:rPr>
          <w:rFonts w:ascii="Century Gothic" w:hAnsi="Century Gothic"/>
          <w:b/>
          <w:lang w:val="en-GB"/>
        </w:rPr>
        <w:t>1.0</w:t>
      </w:r>
      <w:r w:rsidRPr="00D50792">
        <w:rPr>
          <w:rFonts w:ascii="Century Gothic" w:hAnsi="Century Gothic"/>
          <w:b/>
          <w:lang w:val="en-GB"/>
        </w:rPr>
        <w:tab/>
        <w:t>Background</w:t>
      </w:r>
    </w:p>
    <w:p w14:paraId="208873E4" w14:textId="77777777" w:rsidR="00D50792" w:rsidRDefault="00D50792" w:rsidP="00103921">
      <w:pPr>
        <w:jc w:val="both"/>
        <w:rPr>
          <w:rFonts w:ascii="Century Gothic" w:hAnsi="Century Gothic"/>
          <w:lang w:val="en-GB"/>
        </w:rPr>
      </w:pPr>
    </w:p>
    <w:p w14:paraId="2CEEA887" w14:textId="77777777" w:rsidR="007446C2" w:rsidRDefault="007446C2" w:rsidP="007446C2">
      <w:pPr>
        <w:jc w:val="both"/>
        <w:rPr>
          <w:rFonts w:ascii="Century Gothic" w:hAnsi="Century Gothic"/>
          <w:lang w:val="en-GB"/>
        </w:rPr>
      </w:pPr>
      <w:r w:rsidRPr="00695107">
        <w:rPr>
          <w:rFonts w:ascii="Century Gothic" w:hAnsi="Century Gothic"/>
          <w:lang w:val="en-GB"/>
        </w:rPr>
        <w:t>ZCCM Investments Holdings Plc. (ZCCM-IH) is an investment holding company with diversified interests in mining, energy, banking, property and other sectors of the Zambian economy. The company has a primary listing under ISIN number ZM0000000037on the Lusaka Stock Exchange, and secondary listings on London</w:t>
      </w:r>
      <w:r w:rsidRPr="00695107">
        <w:rPr>
          <w:rFonts w:ascii="Century Gothic" w:hAnsi="Century Gothic"/>
        </w:rPr>
        <w:t xml:space="preserve"> Stock Exchange and </w:t>
      </w:r>
      <w:r w:rsidRPr="00695107">
        <w:rPr>
          <w:rFonts w:ascii="Century Gothic" w:hAnsi="Century Gothic"/>
          <w:lang w:val="en-GB"/>
        </w:rPr>
        <w:t>Euronext Stock Exchange in Paris.</w:t>
      </w:r>
    </w:p>
    <w:p w14:paraId="5AC411CB" w14:textId="77777777" w:rsidR="007446C2" w:rsidRPr="00695107" w:rsidRDefault="007446C2" w:rsidP="007446C2">
      <w:pPr>
        <w:jc w:val="both"/>
        <w:rPr>
          <w:rFonts w:ascii="Century Gothic" w:hAnsi="Century Gothic"/>
          <w:lang w:val="en-GB"/>
        </w:rPr>
      </w:pPr>
    </w:p>
    <w:p w14:paraId="2EEB6EEA" w14:textId="77777777" w:rsidR="007446C2" w:rsidRPr="00695107" w:rsidRDefault="007446C2" w:rsidP="007446C2">
      <w:pPr>
        <w:jc w:val="both"/>
        <w:rPr>
          <w:rFonts w:ascii="Century Gothic" w:hAnsi="Century Gothic"/>
          <w:lang w:val="en-GB"/>
        </w:rPr>
      </w:pPr>
      <w:r w:rsidRPr="00695107">
        <w:rPr>
          <w:rFonts w:ascii="Century Gothic" w:hAnsi="Century Gothic"/>
          <w:lang w:val="en-GB"/>
        </w:rPr>
        <w:t xml:space="preserve">The Zambian Government (GRZ) directly holds 17.25% of the shares in ZCCM-IH and 60.28% indirectly through Industrial Development Corporation (IDC), an investment company wholly owned by the Zambian Government. With the remaining 22.47% being held by institutions and individuals. The geographical spread of the minority shareholders, who number around 4300, covers over 29 countries in Europe, Africa, the Caribbean, Australia, Asia and the USA. </w:t>
      </w:r>
    </w:p>
    <w:p w14:paraId="570876E0" w14:textId="77777777" w:rsidR="006B40C9" w:rsidRDefault="006B40C9" w:rsidP="0052129D">
      <w:pPr>
        <w:jc w:val="both"/>
        <w:rPr>
          <w:rFonts w:ascii="Century Gothic" w:hAnsi="Century Gothic"/>
        </w:rPr>
      </w:pPr>
    </w:p>
    <w:p w14:paraId="0213E037" w14:textId="77777777" w:rsidR="00BB15F9" w:rsidRPr="00BB15F9" w:rsidRDefault="00BB15F9" w:rsidP="00BB15F9">
      <w:pPr>
        <w:pStyle w:val="ListParagraph"/>
        <w:ind w:left="0"/>
        <w:jc w:val="both"/>
        <w:rPr>
          <w:rFonts w:ascii="Century Gothic" w:hAnsi="Century Gothic"/>
          <w:sz w:val="24"/>
          <w:szCs w:val="24"/>
          <w:lang w:val="en-GB"/>
        </w:rPr>
      </w:pPr>
      <w:r w:rsidRPr="00BB15F9">
        <w:rPr>
          <w:rFonts w:ascii="Century Gothic" w:hAnsi="Century Gothic"/>
          <w:sz w:val="24"/>
          <w:szCs w:val="24"/>
          <w:lang w:val="en-GB"/>
        </w:rPr>
        <w:t xml:space="preserve">Following the privatization of the assets of Zambia Consolidated Copper Mines (ZCCM) Ltd in 2000, ZCCM Investments Holdings (ZCCM-IH) Plc was left with the responsibility of addressing statutory and contractual environmental obligations of Zambia Consolidated Copper Mines Limited (ZCCM Ltd) which were not passed on to the new mine investors. </w:t>
      </w:r>
    </w:p>
    <w:p w14:paraId="4F8D6157" w14:textId="77777777" w:rsidR="00BB15F9" w:rsidRPr="00BB15F9" w:rsidRDefault="00BB15F9" w:rsidP="00BB15F9">
      <w:pPr>
        <w:pStyle w:val="ListParagraph"/>
        <w:ind w:left="0"/>
        <w:jc w:val="both"/>
        <w:rPr>
          <w:rFonts w:ascii="Century Gothic" w:hAnsi="Century Gothic"/>
          <w:sz w:val="24"/>
          <w:szCs w:val="24"/>
          <w:lang w:val="en-GB"/>
        </w:rPr>
      </w:pPr>
    </w:p>
    <w:p w14:paraId="7DDC2BC2" w14:textId="77777777" w:rsidR="00BB15F9" w:rsidRPr="00BB15F9" w:rsidRDefault="00BB15F9" w:rsidP="00BB15F9">
      <w:pPr>
        <w:pStyle w:val="ListParagraph"/>
        <w:ind w:left="0"/>
        <w:jc w:val="both"/>
        <w:rPr>
          <w:rFonts w:ascii="Century Gothic" w:hAnsi="Century Gothic"/>
          <w:sz w:val="24"/>
          <w:szCs w:val="24"/>
          <w:lang w:val="en-GB"/>
        </w:rPr>
      </w:pPr>
      <w:r w:rsidRPr="00BB15F9">
        <w:rPr>
          <w:rFonts w:ascii="Century Gothic" w:hAnsi="Century Gothic"/>
          <w:sz w:val="24"/>
          <w:szCs w:val="24"/>
          <w:lang w:val="en-GB"/>
        </w:rPr>
        <w:t xml:space="preserve">A number of environmental obligation were addressed by ZCCM-IH through the support of a World Bank supported project, the Copperbelt Environment Project (CEP) that closed in March 2011. Due to time and cost constraints some of the environmental obligation were not addressed although consultancies were commissioned by ZCCM-IH to assess the liabilities. </w:t>
      </w:r>
    </w:p>
    <w:p w14:paraId="0287AA91" w14:textId="77777777" w:rsidR="00BB15F9" w:rsidRPr="00BB15F9" w:rsidRDefault="00BB15F9" w:rsidP="00BB15F9">
      <w:pPr>
        <w:pStyle w:val="ListParagraph"/>
        <w:ind w:left="0"/>
        <w:jc w:val="both"/>
        <w:rPr>
          <w:rFonts w:ascii="Century Gothic" w:hAnsi="Century Gothic"/>
          <w:sz w:val="24"/>
          <w:szCs w:val="24"/>
          <w:lang w:val="en-GB"/>
        </w:rPr>
      </w:pPr>
    </w:p>
    <w:p w14:paraId="29A71E2C" w14:textId="77777777" w:rsidR="00BB15F9" w:rsidRPr="00BB15F9" w:rsidRDefault="00BB15F9" w:rsidP="00BB15F9">
      <w:pPr>
        <w:pStyle w:val="ListParagraph"/>
        <w:ind w:left="113"/>
        <w:jc w:val="both"/>
        <w:rPr>
          <w:rFonts w:ascii="Century Gothic" w:hAnsi="Century Gothic"/>
          <w:sz w:val="24"/>
          <w:szCs w:val="24"/>
          <w:lang w:val="en-GB"/>
        </w:rPr>
      </w:pPr>
      <w:r w:rsidRPr="00BB15F9">
        <w:rPr>
          <w:rFonts w:ascii="Century Gothic" w:hAnsi="Century Gothic"/>
          <w:sz w:val="24"/>
          <w:szCs w:val="24"/>
          <w:lang w:val="en-GB"/>
        </w:rPr>
        <w:t>Some of the environmental obligations not addressed by ZCCM-IH, include the following:</w:t>
      </w:r>
    </w:p>
    <w:p w14:paraId="0B3D38E2" w14:textId="77777777" w:rsidR="00BB15F9" w:rsidRPr="00BB15F9" w:rsidRDefault="00BB15F9" w:rsidP="00BB15F9">
      <w:pPr>
        <w:pStyle w:val="ListParagraph"/>
        <w:ind w:left="113"/>
        <w:jc w:val="both"/>
        <w:rPr>
          <w:rFonts w:ascii="Century Gothic" w:hAnsi="Century Gothic"/>
          <w:sz w:val="24"/>
          <w:szCs w:val="24"/>
          <w:lang w:val="en-GB"/>
        </w:rPr>
      </w:pPr>
    </w:p>
    <w:p w14:paraId="46BBF7BD" w14:textId="77777777" w:rsidR="00BB15F9" w:rsidRPr="00BB15F9" w:rsidRDefault="00BB15F9" w:rsidP="00BB15F9">
      <w:pPr>
        <w:pStyle w:val="ListParagraph"/>
        <w:numPr>
          <w:ilvl w:val="0"/>
          <w:numId w:val="37"/>
        </w:numPr>
        <w:spacing w:after="0"/>
        <w:ind w:left="113" w:firstLine="142"/>
        <w:jc w:val="both"/>
        <w:rPr>
          <w:rFonts w:ascii="Century Gothic" w:hAnsi="Century Gothic"/>
          <w:sz w:val="24"/>
          <w:szCs w:val="24"/>
          <w:lang w:val="en-GB"/>
        </w:rPr>
      </w:pPr>
      <w:r w:rsidRPr="00BB15F9">
        <w:rPr>
          <w:rFonts w:ascii="Century Gothic" w:hAnsi="Century Gothic" w:cs="Calibri"/>
          <w:sz w:val="24"/>
          <w:szCs w:val="24"/>
        </w:rPr>
        <w:t>Demolition and Site Clean-up of No. 1 Nkana Cobalt Plant in Kitwe;</w:t>
      </w:r>
    </w:p>
    <w:p w14:paraId="341BEBFF" w14:textId="77777777" w:rsidR="00BB15F9" w:rsidRPr="00BB15F9" w:rsidRDefault="00BB15F9" w:rsidP="00BB15F9">
      <w:pPr>
        <w:pStyle w:val="ListParagraph"/>
        <w:numPr>
          <w:ilvl w:val="0"/>
          <w:numId w:val="37"/>
        </w:numPr>
        <w:spacing w:after="0"/>
        <w:ind w:left="113" w:firstLine="142"/>
        <w:jc w:val="both"/>
        <w:rPr>
          <w:rFonts w:ascii="Century Gothic" w:hAnsi="Century Gothic"/>
          <w:sz w:val="24"/>
          <w:szCs w:val="24"/>
          <w:lang w:val="en-GB"/>
        </w:rPr>
      </w:pPr>
      <w:r w:rsidRPr="00BB15F9">
        <w:rPr>
          <w:rFonts w:ascii="Century Gothic" w:hAnsi="Century Gothic"/>
          <w:sz w:val="24"/>
          <w:szCs w:val="24"/>
        </w:rPr>
        <w:t>Closure</w:t>
      </w:r>
      <w:r w:rsidRPr="00BB15F9">
        <w:rPr>
          <w:rFonts w:ascii="Century Gothic" w:hAnsi="Century Gothic" w:cs="Calibri"/>
          <w:sz w:val="24"/>
          <w:szCs w:val="24"/>
        </w:rPr>
        <w:t xml:space="preserve"> of Overburden Dumps No. 53 (OB53) and 54 (OB54) in Kitwe; and</w:t>
      </w:r>
    </w:p>
    <w:p w14:paraId="2E39636A" w14:textId="77777777" w:rsidR="00BB15F9" w:rsidRPr="00BB15F9" w:rsidRDefault="00BB15F9" w:rsidP="00BB15F9">
      <w:pPr>
        <w:pStyle w:val="ListParagraph"/>
        <w:numPr>
          <w:ilvl w:val="0"/>
          <w:numId w:val="37"/>
        </w:numPr>
        <w:spacing w:after="0"/>
        <w:ind w:left="113" w:firstLine="142"/>
        <w:jc w:val="both"/>
        <w:rPr>
          <w:rFonts w:ascii="Century Gothic" w:hAnsi="Century Gothic"/>
          <w:sz w:val="24"/>
          <w:szCs w:val="24"/>
          <w:lang w:val="en-GB"/>
        </w:rPr>
      </w:pPr>
      <w:r w:rsidRPr="00BB15F9">
        <w:rPr>
          <w:rFonts w:ascii="Century Gothic" w:hAnsi="Century Gothic" w:cs="Calibri"/>
          <w:sz w:val="24"/>
          <w:szCs w:val="24"/>
        </w:rPr>
        <w:lastRenderedPageBreak/>
        <w:t>Construction of Bund wall around Overburdens dumps in Chingola.</w:t>
      </w:r>
    </w:p>
    <w:p w14:paraId="3BF78D44" w14:textId="2C5F3467" w:rsidR="00BB15F9" w:rsidRPr="00BB15F9" w:rsidRDefault="00BB15F9" w:rsidP="00826343">
      <w:pPr>
        <w:autoSpaceDE w:val="0"/>
        <w:autoSpaceDN w:val="0"/>
        <w:adjustRightInd w:val="0"/>
        <w:spacing w:before="240"/>
        <w:ind w:left="113"/>
        <w:jc w:val="both"/>
        <w:rPr>
          <w:rFonts w:ascii="Century Gothic" w:hAnsi="Century Gothic" w:cs="Calibri"/>
          <w:lang w:val="en-GB"/>
        </w:rPr>
      </w:pPr>
      <w:r w:rsidRPr="00BB15F9">
        <w:rPr>
          <w:rFonts w:ascii="Century Gothic" w:hAnsi="Century Gothic" w:cs="Calibri"/>
          <w:lang w:val="en-GB"/>
        </w:rPr>
        <w:t>Environmental obligation that had studies commissioned to assess closure cost included the Demolition and Clean-up of No. 1 Nkana Cobalt Plant in Kitwe.</w:t>
      </w:r>
      <w:r w:rsidRPr="00BB15F9">
        <w:rPr>
          <w:rFonts w:ascii="Century Gothic" w:hAnsi="Century Gothic"/>
          <w:lang w:val="en-GB"/>
        </w:rPr>
        <w:t xml:space="preserve"> Consultancies were not commissioned to assess the Closure</w:t>
      </w:r>
      <w:r w:rsidRPr="00BB15F9">
        <w:rPr>
          <w:rFonts w:ascii="Century Gothic" w:hAnsi="Century Gothic" w:cs="Calibri"/>
          <w:lang w:val="en-GB"/>
        </w:rPr>
        <w:t xml:space="preserve"> of Overburden Dumps No. 53 (OB53) and 54 (OB54) in Kitwe and the Construction of Bund wall around Overburdens dumps in Chingola, although a joint assessment of cost for the latter was estimated by representative of ZCCM-IH and Konkola Copper </w:t>
      </w:r>
      <w:r w:rsidR="00826343">
        <w:rPr>
          <w:rFonts w:ascii="Century Gothic" w:hAnsi="Century Gothic" w:cs="Calibri"/>
          <w:lang w:val="en-GB"/>
        </w:rPr>
        <w:t>M</w:t>
      </w:r>
      <w:r w:rsidRPr="00BB15F9">
        <w:rPr>
          <w:rFonts w:ascii="Century Gothic" w:hAnsi="Century Gothic" w:cs="Calibri"/>
          <w:lang w:val="en-GB"/>
        </w:rPr>
        <w:t xml:space="preserve">ines Plc.  </w:t>
      </w:r>
    </w:p>
    <w:p w14:paraId="22F34857" w14:textId="77777777" w:rsidR="00BB15F9" w:rsidRPr="00BB15F9" w:rsidRDefault="00BB15F9" w:rsidP="00BB15F9">
      <w:pPr>
        <w:autoSpaceDE w:val="0"/>
        <w:autoSpaceDN w:val="0"/>
        <w:adjustRightInd w:val="0"/>
        <w:spacing w:before="100" w:beforeAutospacing="1" w:after="100" w:afterAutospacing="1"/>
        <w:ind w:left="113"/>
        <w:jc w:val="both"/>
        <w:rPr>
          <w:rFonts w:ascii="Century Gothic" w:hAnsi="Century Gothic"/>
          <w:lang w:val="en-GB"/>
        </w:rPr>
      </w:pPr>
      <w:r w:rsidRPr="00BB15F9">
        <w:rPr>
          <w:rFonts w:ascii="Century Gothic" w:hAnsi="Century Gothic"/>
          <w:lang w:val="en-GB"/>
        </w:rPr>
        <w:t>Before and after privatisation the following studies assessed the safety and environmental status and estimated cost for closure of the following ZCCM-IH environmental obligations:</w:t>
      </w:r>
    </w:p>
    <w:p w14:paraId="6A2AF4E4" w14:textId="77777777" w:rsidR="00BB15F9" w:rsidRPr="00BB15F9" w:rsidRDefault="00BB15F9" w:rsidP="00BB15F9">
      <w:pPr>
        <w:pStyle w:val="ListParagraph"/>
        <w:numPr>
          <w:ilvl w:val="0"/>
          <w:numId w:val="38"/>
        </w:numPr>
        <w:autoSpaceDE w:val="0"/>
        <w:autoSpaceDN w:val="0"/>
        <w:adjustRightInd w:val="0"/>
        <w:spacing w:before="100" w:beforeAutospacing="1" w:after="100" w:afterAutospacing="1" w:line="240" w:lineRule="auto"/>
        <w:jc w:val="both"/>
        <w:rPr>
          <w:rFonts w:ascii="Century Gothic" w:hAnsi="Century Gothic"/>
          <w:sz w:val="24"/>
          <w:szCs w:val="24"/>
          <w:lang w:val="en-GB"/>
        </w:rPr>
      </w:pPr>
      <w:r w:rsidRPr="00BB15F9">
        <w:rPr>
          <w:rFonts w:ascii="Century Gothic" w:hAnsi="Century Gothic"/>
          <w:sz w:val="24"/>
          <w:szCs w:val="24"/>
        </w:rPr>
        <w:t xml:space="preserve">The Environmental Impact Statement of ZCCM Ltd (1997), </w:t>
      </w:r>
    </w:p>
    <w:p w14:paraId="0D01AD04" w14:textId="77777777" w:rsidR="00BB15F9" w:rsidRPr="00BB15F9" w:rsidRDefault="00BB15F9" w:rsidP="00BB15F9">
      <w:pPr>
        <w:pStyle w:val="ListParagraph"/>
        <w:numPr>
          <w:ilvl w:val="0"/>
          <w:numId w:val="38"/>
        </w:numPr>
        <w:autoSpaceDE w:val="0"/>
        <w:autoSpaceDN w:val="0"/>
        <w:adjustRightInd w:val="0"/>
        <w:spacing w:before="100" w:beforeAutospacing="1" w:after="100" w:afterAutospacing="1" w:line="240" w:lineRule="auto"/>
        <w:jc w:val="both"/>
        <w:rPr>
          <w:rFonts w:ascii="Century Gothic" w:hAnsi="Century Gothic"/>
          <w:sz w:val="24"/>
          <w:szCs w:val="24"/>
          <w:lang w:val="en-GB"/>
        </w:rPr>
      </w:pPr>
      <w:r w:rsidRPr="00BB15F9">
        <w:rPr>
          <w:rFonts w:ascii="Century Gothic" w:hAnsi="Century Gothic"/>
          <w:sz w:val="24"/>
          <w:szCs w:val="24"/>
        </w:rPr>
        <w:t xml:space="preserve">The Counterpart Environmental Management Plans (2003), </w:t>
      </w:r>
    </w:p>
    <w:p w14:paraId="1457324C" w14:textId="77777777" w:rsidR="00BB15F9" w:rsidRPr="00BB15F9" w:rsidRDefault="00BB15F9" w:rsidP="00BB15F9">
      <w:pPr>
        <w:pStyle w:val="ListParagraph"/>
        <w:numPr>
          <w:ilvl w:val="0"/>
          <w:numId w:val="38"/>
        </w:numPr>
        <w:autoSpaceDE w:val="0"/>
        <w:autoSpaceDN w:val="0"/>
        <w:adjustRightInd w:val="0"/>
        <w:spacing w:before="100" w:beforeAutospacing="1" w:after="100" w:afterAutospacing="1" w:line="240" w:lineRule="auto"/>
        <w:jc w:val="both"/>
        <w:rPr>
          <w:rFonts w:ascii="Century Gothic" w:hAnsi="Century Gothic"/>
          <w:sz w:val="24"/>
          <w:szCs w:val="24"/>
          <w:lang w:val="en-GB"/>
        </w:rPr>
      </w:pPr>
      <w:r w:rsidRPr="00BB15F9">
        <w:rPr>
          <w:rFonts w:ascii="Century Gothic" w:hAnsi="Century Gothic"/>
          <w:sz w:val="24"/>
          <w:szCs w:val="24"/>
        </w:rPr>
        <w:t xml:space="preserve">The Consolidated Environmental Management Plans (2005), </w:t>
      </w:r>
    </w:p>
    <w:p w14:paraId="703137CB" w14:textId="77777777" w:rsidR="00BB15F9" w:rsidRPr="00826343" w:rsidRDefault="00BB15F9" w:rsidP="00BB15F9">
      <w:pPr>
        <w:pStyle w:val="ListParagraph"/>
        <w:numPr>
          <w:ilvl w:val="0"/>
          <w:numId w:val="38"/>
        </w:numPr>
        <w:autoSpaceDE w:val="0"/>
        <w:autoSpaceDN w:val="0"/>
        <w:adjustRightInd w:val="0"/>
        <w:spacing w:before="100" w:beforeAutospacing="1" w:after="100" w:afterAutospacing="1" w:line="240" w:lineRule="auto"/>
        <w:jc w:val="both"/>
        <w:rPr>
          <w:rFonts w:ascii="Century Gothic" w:hAnsi="Century Gothic"/>
          <w:sz w:val="24"/>
          <w:szCs w:val="24"/>
          <w:lang w:val="en-GB"/>
        </w:rPr>
      </w:pPr>
      <w:r w:rsidRPr="00BB15F9">
        <w:rPr>
          <w:rFonts w:ascii="Century Gothic" w:hAnsi="Century Gothic"/>
          <w:sz w:val="24"/>
          <w:szCs w:val="24"/>
        </w:rPr>
        <w:t>The Geotechnical and Dam Safety Assessment (2007).</w:t>
      </w:r>
    </w:p>
    <w:p w14:paraId="5B6A1D4C" w14:textId="50B41B19" w:rsidR="00826343" w:rsidRPr="00826343" w:rsidRDefault="00826343" w:rsidP="00826343">
      <w:pPr>
        <w:autoSpaceDE w:val="0"/>
        <w:autoSpaceDN w:val="0"/>
        <w:adjustRightInd w:val="0"/>
        <w:spacing w:before="100" w:beforeAutospacing="1" w:after="100" w:afterAutospacing="1"/>
        <w:jc w:val="both"/>
        <w:rPr>
          <w:rFonts w:ascii="Century Gothic" w:hAnsi="Century Gothic"/>
          <w:lang w:val="en-GB"/>
        </w:rPr>
      </w:pPr>
      <w:r>
        <w:rPr>
          <w:rFonts w:ascii="Century Gothic" w:hAnsi="Century Gothic"/>
          <w:lang w:val="en-GB"/>
        </w:rPr>
        <w:t>ZCCM-IH now wishes to engage a consultant to undertake an independent assessment of ZCCM-IH’s environmental liabilities.</w:t>
      </w:r>
    </w:p>
    <w:p w14:paraId="6576AA0F" w14:textId="671BB735" w:rsidR="00060157" w:rsidRPr="00BB15F9" w:rsidRDefault="00060157" w:rsidP="00D50792">
      <w:pPr>
        <w:tabs>
          <w:tab w:val="left" w:pos="1620"/>
          <w:tab w:val="left" w:pos="2970"/>
        </w:tabs>
        <w:spacing w:before="240"/>
        <w:jc w:val="both"/>
        <w:rPr>
          <w:rFonts w:ascii="Century Gothic" w:hAnsi="Century Gothic"/>
        </w:rPr>
      </w:pPr>
      <w:r w:rsidRPr="00BB15F9">
        <w:rPr>
          <w:rFonts w:ascii="Century Gothic" w:hAnsi="Century Gothic"/>
        </w:rPr>
        <w:t xml:space="preserve">ZCCM-IH now invites eligible </w:t>
      </w:r>
      <w:r w:rsidR="00D5719E" w:rsidRPr="00BB15F9">
        <w:rPr>
          <w:rFonts w:ascii="Century Gothic" w:hAnsi="Century Gothic"/>
        </w:rPr>
        <w:t>consultants</w:t>
      </w:r>
      <w:r w:rsidRPr="00BB15F9">
        <w:rPr>
          <w:rFonts w:ascii="Century Gothic" w:hAnsi="Century Gothic"/>
        </w:rPr>
        <w:t xml:space="preserve"> to indicate their interest in providing the above services. Interested firms must provide information to demonstrate that they are qualified to perform the services (brochures, description of similar assignments, experience in similar conditions etc.). </w:t>
      </w:r>
    </w:p>
    <w:p w14:paraId="1466EF13" w14:textId="77777777" w:rsidR="00060157" w:rsidRPr="00BB15F9" w:rsidRDefault="00060157" w:rsidP="00D50792">
      <w:pPr>
        <w:suppressAutoHyphens/>
        <w:jc w:val="both"/>
        <w:rPr>
          <w:rFonts w:ascii="Century Gothic" w:hAnsi="Century Gothic"/>
          <w:lang w:val="en-GB"/>
        </w:rPr>
      </w:pPr>
    </w:p>
    <w:p w14:paraId="4BEE556A" w14:textId="77777777" w:rsidR="00303F81" w:rsidRPr="0027205D" w:rsidRDefault="00105F75" w:rsidP="00D50792">
      <w:pPr>
        <w:suppressAutoHyphens/>
        <w:jc w:val="both"/>
        <w:rPr>
          <w:rFonts w:ascii="Century Gothic" w:hAnsi="Century Gothic"/>
          <w:spacing w:val="-2"/>
        </w:rPr>
      </w:pPr>
      <w:r w:rsidRPr="00BB15F9">
        <w:rPr>
          <w:rFonts w:ascii="Century Gothic" w:hAnsi="Century Gothic"/>
          <w:lang w:val="en-GB"/>
        </w:rPr>
        <w:t xml:space="preserve">Interested consultants </w:t>
      </w:r>
      <w:r w:rsidR="00303F81" w:rsidRPr="00BB15F9">
        <w:rPr>
          <w:rFonts w:ascii="Century Gothic" w:hAnsi="Century Gothic"/>
          <w:lang w:val="en-GB"/>
        </w:rPr>
        <w:t xml:space="preserve">may obtain further information at the address below </w:t>
      </w:r>
      <w:r w:rsidR="00303F81" w:rsidRPr="00BB15F9">
        <w:rPr>
          <w:rFonts w:ascii="Century Gothic" w:hAnsi="Century Gothic"/>
          <w:spacing w:val="-2"/>
        </w:rPr>
        <w:t>during office hours between</w:t>
      </w:r>
      <w:r w:rsidR="00303F81" w:rsidRPr="00BB15F9">
        <w:rPr>
          <w:rFonts w:ascii="Century Gothic" w:hAnsi="Century Gothic"/>
          <w:i/>
          <w:spacing w:val="-2"/>
        </w:rPr>
        <w:t xml:space="preserve"> </w:t>
      </w:r>
      <w:r w:rsidR="00303F81" w:rsidRPr="00BB15F9">
        <w:rPr>
          <w:rFonts w:ascii="Century Gothic" w:hAnsi="Century Gothic"/>
          <w:spacing w:val="-2"/>
        </w:rPr>
        <w:t xml:space="preserve">08:00 </w:t>
      </w:r>
      <w:r w:rsidRPr="00BB15F9">
        <w:rPr>
          <w:rFonts w:ascii="Century Gothic" w:hAnsi="Century Gothic"/>
          <w:spacing w:val="-2"/>
        </w:rPr>
        <w:t>-</w:t>
      </w:r>
      <w:r w:rsidR="00303F81" w:rsidRPr="00BB15F9">
        <w:rPr>
          <w:rFonts w:ascii="Century Gothic" w:hAnsi="Century Gothic"/>
          <w:spacing w:val="-2"/>
        </w:rPr>
        <w:t xml:space="preserve"> 1</w:t>
      </w:r>
      <w:r w:rsidRPr="00BB15F9">
        <w:rPr>
          <w:rFonts w:ascii="Century Gothic" w:hAnsi="Century Gothic"/>
          <w:spacing w:val="-2"/>
        </w:rPr>
        <w:t>3</w:t>
      </w:r>
      <w:r w:rsidR="00303F81" w:rsidRPr="00BB15F9">
        <w:rPr>
          <w:rFonts w:ascii="Century Gothic" w:hAnsi="Century Gothic"/>
          <w:spacing w:val="-2"/>
        </w:rPr>
        <w:t>:00</w:t>
      </w:r>
      <w:r w:rsidR="00303F81" w:rsidRPr="0027205D">
        <w:rPr>
          <w:rFonts w:ascii="Century Gothic" w:hAnsi="Century Gothic"/>
          <w:spacing w:val="-2"/>
        </w:rPr>
        <w:t xml:space="preserve"> hours </w:t>
      </w:r>
      <w:r w:rsidRPr="0027205D">
        <w:rPr>
          <w:rFonts w:ascii="Century Gothic" w:hAnsi="Century Gothic"/>
          <w:spacing w:val="-2"/>
        </w:rPr>
        <w:t xml:space="preserve">and </w:t>
      </w:r>
      <w:r w:rsidR="00060157" w:rsidRPr="0027205D">
        <w:rPr>
          <w:rFonts w:ascii="Century Gothic" w:hAnsi="Century Gothic"/>
          <w:spacing w:val="-2"/>
        </w:rPr>
        <w:t xml:space="preserve">between </w:t>
      </w:r>
      <w:r w:rsidRPr="0027205D">
        <w:rPr>
          <w:rFonts w:ascii="Century Gothic" w:hAnsi="Century Gothic"/>
          <w:spacing w:val="-2"/>
        </w:rPr>
        <w:t xml:space="preserve">14:00 – 17:00 hours </w:t>
      </w:r>
      <w:r w:rsidR="00303F81" w:rsidRPr="0027205D">
        <w:rPr>
          <w:rFonts w:ascii="Century Gothic" w:hAnsi="Century Gothic"/>
          <w:spacing w:val="-2"/>
        </w:rPr>
        <w:t xml:space="preserve">local time from Monday to Friday. </w:t>
      </w:r>
    </w:p>
    <w:p w14:paraId="114F8F1D" w14:textId="77777777" w:rsidR="00303F81" w:rsidRPr="0027205D" w:rsidRDefault="00303F81" w:rsidP="00D50792">
      <w:pPr>
        <w:suppressAutoHyphens/>
        <w:jc w:val="both"/>
        <w:rPr>
          <w:rFonts w:ascii="Century Gothic" w:hAnsi="Century Gothic"/>
          <w:spacing w:val="-2"/>
        </w:rPr>
      </w:pPr>
    </w:p>
    <w:p w14:paraId="6F690280" w14:textId="35CB1A2D" w:rsidR="00C64B0A" w:rsidRPr="005C4E24" w:rsidRDefault="00C64B0A" w:rsidP="00C64B0A">
      <w:pPr>
        <w:suppressAutoHyphens/>
        <w:jc w:val="both"/>
        <w:rPr>
          <w:rFonts w:ascii="Century Gothic" w:hAnsi="Century Gothic" w:cs="Century Gothic"/>
          <w:b/>
        </w:rPr>
      </w:pPr>
      <w:r>
        <w:rPr>
          <w:rFonts w:ascii="Century Gothic" w:hAnsi="Century Gothic"/>
          <w:lang w:val="en-GB"/>
        </w:rPr>
        <w:t xml:space="preserve">A consultant will be selected using </w:t>
      </w:r>
      <w:r w:rsidRPr="00C64B0A">
        <w:rPr>
          <w:rFonts w:ascii="Century Gothic" w:hAnsi="Century Gothic"/>
          <w:b/>
          <w:lang w:val="en-GB"/>
        </w:rPr>
        <w:t>Quality and Cost Based Selection (QCBS)</w:t>
      </w:r>
      <w:r>
        <w:rPr>
          <w:rFonts w:ascii="Century Gothic" w:hAnsi="Century Gothic"/>
          <w:lang w:val="en-GB"/>
        </w:rPr>
        <w:t xml:space="preserve"> method. </w:t>
      </w:r>
      <w:r w:rsidRPr="007B2C75">
        <w:rPr>
          <w:rFonts w:ascii="Century Gothic" w:hAnsi="Century Gothic"/>
          <w:lang w:val="en-GB"/>
        </w:rPr>
        <w:t xml:space="preserve">Interested consultants must submit </w:t>
      </w:r>
      <w:r w:rsidR="006B40C9">
        <w:rPr>
          <w:rFonts w:ascii="Century Gothic" w:hAnsi="Century Gothic"/>
          <w:b/>
          <w:lang w:val="en-GB"/>
        </w:rPr>
        <w:t>one (01) original and t</w:t>
      </w:r>
      <w:r w:rsidRPr="00266F80">
        <w:rPr>
          <w:rFonts w:ascii="Century Gothic" w:hAnsi="Century Gothic"/>
          <w:b/>
          <w:lang w:val="en-GB"/>
        </w:rPr>
        <w:t>hree (03) hard copies</w:t>
      </w:r>
      <w:r w:rsidRPr="006B796A">
        <w:rPr>
          <w:rFonts w:ascii="Century Gothic" w:hAnsi="Century Gothic"/>
          <w:lang w:val="en-GB"/>
        </w:rPr>
        <w:t xml:space="preserve"> of the Expression of Interest </w:t>
      </w:r>
      <w:r w:rsidR="006B40C9">
        <w:rPr>
          <w:rFonts w:ascii="Century Gothic" w:hAnsi="Century Gothic"/>
          <w:lang w:val="en-GB"/>
        </w:rPr>
        <w:t xml:space="preserve">(EOIs) </w:t>
      </w:r>
      <w:r w:rsidRPr="006B796A">
        <w:rPr>
          <w:rFonts w:ascii="Century Gothic" w:hAnsi="Century Gothic"/>
          <w:lang w:val="en-GB"/>
        </w:rPr>
        <w:t xml:space="preserve">to the address below no later than </w:t>
      </w:r>
      <w:r w:rsidR="006B40C9" w:rsidRPr="005C4E24">
        <w:rPr>
          <w:rFonts w:ascii="Century Gothic" w:hAnsi="Century Gothic"/>
          <w:b/>
          <w:lang w:val="en-GB"/>
        </w:rPr>
        <w:t>Wednesday</w:t>
      </w:r>
      <w:r w:rsidRPr="005C4E24">
        <w:rPr>
          <w:rFonts w:ascii="Century Gothic" w:hAnsi="Century Gothic"/>
          <w:b/>
          <w:lang w:val="en-GB"/>
        </w:rPr>
        <w:t xml:space="preserve">, </w:t>
      </w:r>
      <w:r w:rsidR="00FA2F12" w:rsidRPr="005C4E24">
        <w:rPr>
          <w:rFonts w:ascii="Century Gothic" w:hAnsi="Century Gothic"/>
          <w:b/>
          <w:lang w:val="en-GB"/>
        </w:rPr>
        <w:t>2</w:t>
      </w:r>
      <w:r w:rsidR="006B40C9" w:rsidRPr="005C4E24">
        <w:rPr>
          <w:rFonts w:ascii="Century Gothic" w:hAnsi="Century Gothic"/>
          <w:b/>
          <w:lang w:val="en-GB"/>
        </w:rPr>
        <w:t>7</w:t>
      </w:r>
      <w:r w:rsidR="006B40C9" w:rsidRPr="005C4E24">
        <w:rPr>
          <w:rFonts w:ascii="Century Gothic" w:hAnsi="Century Gothic"/>
          <w:b/>
          <w:vertAlign w:val="superscript"/>
          <w:lang w:val="en-GB"/>
        </w:rPr>
        <w:t>th</w:t>
      </w:r>
      <w:r w:rsidR="006B40C9" w:rsidRPr="005C4E24">
        <w:rPr>
          <w:rFonts w:ascii="Century Gothic" w:hAnsi="Century Gothic"/>
          <w:b/>
          <w:lang w:val="en-GB"/>
        </w:rPr>
        <w:t xml:space="preserve"> May</w:t>
      </w:r>
      <w:r w:rsidR="00FA2F12" w:rsidRPr="005C4E24">
        <w:rPr>
          <w:rFonts w:ascii="Century Gothic" w:hAnsi="Century Gothic"/>
          <w:b/>
          <w:lang w:val="en-GB"/>
        </w:rPr>
        <w:t xml:space="preserve"> </w:t>
      </w:r>
      <w:r w:rsidR="00FA2F12" w:rsidRPr="005C4E24">
        <w:rPr>
          <w:rFonts w:ascii="Century Gothic" w:hAnsi="Century Gothic" w:cs="Century Gothic"/>
          <w:b/>
        </w:rPr>
        <w:t>2020</w:t>
      </w:r>
      <w:r w:rsidRPr="005C4E24">
        <w:rPr>
          <w:rFonts w:ascii="Century Gothic" w:hAnsi="Century Gothic" w:cs="Century Gothic"/>
          <w:b/>
        </w:rPr>
        <w:t>.</w:t>
      </w:r>
    </w:p>
    <w:p w14:paraId="36ADE059" w14:textId="77777777" w:rsidR="00C64B0A" w:rsidRDefault="00C64B0A" w:rsidP="00D50792">
      <w:pPr>
        <w:jc w:val="both"/>
        <w:rPr>
          <w:rFonts w:ascii="Century Gothic" w:hAnsi="Century Gothic" w:cs="Century Gothic"/>
          <w:lang w:val="en-GB"/>
        </w:rPr>
      </w:pPr>
      <w:bookmarkStart w:id="0" w:name="_GoBack"/>
      <w:bookmarkEnd w:id="0"/>
    </w:p>
    <w:p w14:paraId="49604FD0" w14:textId="2A91CE8E"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 xml:space="preserve">Procurement </w:t>
      </w:r>
      <w:r w:rsidR="00331111" w:rsidRPr="0027205D">
        <w:rPr>
          <w:rFonts w:ascii="Century Gothic" w:hAnsi="Century Gothic" w:cs="Century Gothic"/>
          <w:lang w:val="en-GB"/>
        </w:rPr>
        <w:t>Manager</w:t>
      </w:r>
    </w:p>
    <w:p w14:paraId="0EE2BB67"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ZCCM Investments Holdings Plc</w:t>
      </w:r>
    </w:p>
    <w:p w14:paraId="2B3C13EB" w14:textId="77777777" w:rsidR="009A2438"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ZCCM-IH Office Park</w:t>
      </w:r>
    </w:p>
    <w:p w14:paraId="3AD4EC5F"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 xml:space="preserve">Stand No. 16806, Alick Nkhata Road </w:t>
      </w:r>
    </w:p>
    <w:p w14:paraId="157CD5BA"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Mass Media Complex Area</w:t>
      </w:r>
    </w:p>
    <w:p w14:paraId="711FF28B"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P.O. Box 30048</w:t>
      </w:r>
    </w:p>
    <w:p w14:paraId="71A8C49D" w14:textId="28806081" w:rsidR="009A2438" w:rsidRPr="0027205D" w:rsidRDefault="009A2438" w:rsidP="00D50792">
      <w:pPr>
        <w:pStyle w:val="Title"/>
        <w:tabs>
          <w:tab w:val="center" w:pos="4370"/>
          <w:tab w:val="left" w:pos="7320"/>
        </w:tabs>
        <w:jc w:val="both"/>
        <w:rPr>
          <w:rFonts w:ascii="Century Gothic" w:hAnsi="Century Gothic" w:cs="Century Gothic"/>
          <w:b/>
          <w:bCs/>
        </w:rPr>
      </w:pPr>
      <w:r w:rsidRPr="0027205D">
        <w:rPr>
          <w:rFonts w:ascii="Century Gothic" w:hAnsi="Century Gothic" w:cs="Century Gothic"/>
          <w:b/>
          <w:bCs/>
          <w:lang w:val="en-GB"/>
        </w:rPr>
        <w:t>Lusaka.</w:t>
      </w:r>
    </w:p>
    <w:p w14:paraId="728BC0A1" w14:textId="7AEF863D" w:rsidR="001B0ED4" w:rsidRPr="0027205D" w:rsidRDefault="001B0ED4" w:rsidP="00D50792">
      <w:pPr>
        <w:jc w:val="both"/>
        <w:rPr>
          <w:rFonts w:ascii="Century Gothic" w:hAnsi="Century Gothic"/>
        </w:rPr>
      </w:pPr>
      <w:r w:rsidRPr="0027205D">
        <w:rPr>
          <w:rFonts w:ascii="Century Gothic" w:hAnsi="Century Gothic"/>
        </w:rPr>
        <w:t xml:space="preserve">Email: </w:t>
      </w:r>
      <w:hyperlink r:id="rId6" w:history="1">
        <w:r w:rsidR="00565989" w:rsidRPr="0027205D">
          <w:rPr>
            <w:rStyle w:val="Hyperlink"/>
            <w:rFonts w:ascii="Century Gothic" w:hAnsi="Century Gothic"/>
          </w:rPr>
          <w:t>kabwek@zccm-ih.com.zm</w:t>
        </w:r>
      </w:hyperlink>
    </w:p>
    <w:sectPr w:rsidR="001B0ED4" w:rsidRPr="0027205D" w:rsidSect="006B40C9">
      <w:pgSz w:w="12240" w:h="15840"/>
      <w:pgMar w:top="81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039"/>
    <w:multiLevelType w:val="hybridMultilevel"/>
    <w:tmpl w:val="0ACA46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D0BA7"/>
    <w:multiLevelType w:val="hybridMultilevel"/>
    <w:tmpl w:val="5754A72E"/>
    <w:lvl w:ilvl="0" w:tplc="1BD662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6769F"/>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6B175F"/>
    <w:multiLevelType w:val="hybridMultilevel"/>
    <w:tmpl w:val="5AA4C6A0"/>
    <w:lvl w:ilvl="0" w:tplc="2C0E8FEA">
      <w:start w:val="1"/>
      <w:numFmt w:val="decimal"/>
      <w:lvlText w:val="%1."/>
      <w:lvlJc w:val="left"/>
      <w:pPr>
        <w:ind w:left="360" w:hanging="360"/>
      </w:pPr>
      <w:rPr>
        <w:b/>
      </w:rPr>
    </w:lvl>
    <w:lvl w:ilvl="1" w:tplc="93523DA0">
      <w:start w:val="1"/>
      <w:numFmt w:val="lowerLetter"/>
      <w:lvlText w:val="%2)"/>
      <w:lvlJc w:val="left"/>
      <w:pPr>
        <w:ind w:left="63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479B9"/>
    <w:multiLevelType w:val="hybridMultilevel"/>
    <w:tmpl w:val="151E64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FA4E51"/>
    <w:multiLevelType w:val="multilevel"/>
    <w:tmpl w:val="4B7AED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18C60724"/>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2B2996"/>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7E7895"/>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3737E2"/>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3E16ED"/>
    <w:multiLevelType w:val="hybridMultilevel"/>
    <w:tmpl w:val="116CC89E"/>
    <w:lvl w:ilvl="0" w:tplc="121C3E8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9E4AE8"/>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482929"/>
    <w:multiLevelType w:val="hybridMultilevel"/>
    <w:tmpl w:val="A02A0E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CD2AD3"/>
    <w:multiLevelType w:val="multilevel"/>
    <w:tmpl w:val="85023DAE"/>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2EF769B8"/>
    <w:multiLevelType w:val="hybridMultilevel"/>
    <w:tmpl w:val="F87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D165D"/>
    <w:multiLevelType w:val="hybridMultilevel"/>
    <w:tmpl w:val="D52EBB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2F6171"/>
    <w:multiLevelType w:val="hybridMultilevel"/>
    <w:tmpl w:val="049417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D272D"/>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5818D6"/>
    <w:multiLevelType w:val="hybridMultilevel"/>
    <w:tmpl w:val="6B064954"/>
    <w:lvl w:ilvl="0" w:tplc="1BD662A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3847A90"/>
    <w:multiLevelType w:val="hybridMultilevel"/>
    <w:tmpl w:val="E3B63D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ED3DB1"/>
    <w:multiLevelType w:val="hybridMultilevel"/>
    <w:tmpl w:val="167630CA"/>
    <w:lvl w:ilvl="0" w:tplc="2C0E8FEA">
      <w:start w:val="1"/>
      <w:numFmt w:val="decimal"/>
      <w:lvlText w:val="%1."/>
      <w:lvlJc w:val="left"/>
      <w:pPr>
        <w:ind w:left="36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3EF27B1"/>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71156C"/>
    <w:multiLevelType w:val="hybridMultilevel"/>
    <w:tmpl w:val="D160E59A"/>
    <w:lvl w:ilvl="0" w:tplc="CD70FA54">
      <w:start w:val="1"/>
      <w:numFmt w:val="lowerLetter"/>
      <w:lvlText w:val="%1)"/>
      <w:lvlJc w:val="left"/>
      <w:pPr>
        <w:ind w:left="720" w:hanging="360"/>
      </w:pPr>
      <w:rPr>
        <w:rFonts w:ascii="Century Gothic" w:eastAsiaTheme="minorHAnsi" w:hAnsi="Century Gothic" w:cstheme="minorBidi"/>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126500"/>
    <w:multiLevelType w:val="hybridMultilevel"/>
    <w:tmpl w:val="ED5EDB82"/>
    <w:lvl w:ilvl="0" w:tplc="C36ECDF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28547A"/>
    <w:multiLevelType w:val="hybridMultilevel"/>
    <w:tmpl w:val="F2FC6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8A7FA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370F90"/>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2301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79738A5"/>
    <w:multiLevelType w:val="hybridMultilevel"/>
    <w:tmpl w:val="A7E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811F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3771AB"/>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1268C7"/>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75E46FE"/>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286DB7"/>
    <w:multiLevelType w:val="multilevel"/>
    <w:tmpl w:val="C0D2CD26"/>
    <w:lvl w:ilvl="0">
      <w:start w:val="5"/>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nsid w:val="750177BB"/>
    <w:multiLevelType w:val="hybridMultilevel"/>
    <w:tmpl w:val="2DE04E8E"/>
    <w:lvl w:ilvl="0" w:tplc="04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5">
    <w:nsid w:val="778C0E78"/>
    <w:multiLevelType w:val="multilevel"/>
    <w:tmpl w:val="2EB2D4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E722725"/>
    <w:multiLevelType w:val="hybridMultilevel"/>
    <w:tmpl w:val="23667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10"/>
  </w:num>
  <w:num w:numId="5">
    <w:abstractNumId w:val="35"/>
  </w:num>
  <w:num w:numId="6">
    <w:abstractNumId w:val="15"/>
  </w:num>
  <w:num w:numId="7">
    <w:abstractNumId w:val="7"/>
  </w:num>
  <w:num w:numId="8">
    <w:abstractNumId w:val="2"/>
  </w:num>
  <w:num w:numId="9">
    <w:abstractNumId w:val="27"/>
  </w:num>
  <w:num w:numId="10">
    <w:abstractNumId w:val="32"/>
  </w:num>
  <w:num w:numId="11">
    <w:abstractNumId w:val="25"/>
  </w:num>
  <w:num w:numId="12">
    <w:abstractNumId w:val="9"/>
  </w:num>
  <w:num w:numId="13">
    <w:abstractNumId w:val="31"/>
  </w:num>
  <w:num w:numId="14">
    <w:abstractNumId w:val="8"/>
  </w:num>
  <w:num w:numId="15">
    <w:abstractNumId w:val="11"/>
  </w:num>
  <w:num w:numId="16">
    <w:abstractNumId w:val="30"/>
  </w:num>
  <w:num w:numId="17">
    <w:abstractNumId w:val="28"/>
  </w:num>
  <w:num w:numId="18">
    <w:abstractNumId w:val="26"/>
  </w:num>
  <w:num w:numId="19">
    <w:abstractNumId w:val="29"/>
  </w:num>
  <w:num w:numId="20">
    <w:abstractNumId w:val="17"/>
  </w:num>
  <w:num w:numId="21">
    <w:abstractNumId w:val="21"/>
  </w:num>
  <w:num w:numId="22">
    <w:abstractNumId w:val="14"/>
  </w:num>
  <w:num w:numId="23">
    <w:abstractNumId w:val="20"/>
  </w:num>
  <w:num w:numId="24">
    <w:abstractNumId w:val="24"/>
  </w:num>
  <w:num w:numId="25">
    <w:abstractNumId w:val="36"/>
  </w:num>
  <w:num w:numId="26">
    <w:abstractNumId w:val="23"/>
  </w:num>
  <w:num w:numId="27">
    <w:abstractNumId w:val="22"/>
  </w:num>
  <w:num w:numId="28">
    <w:abstractNumId w:val="19"/>
  </w:num>
  <w:num w:numId="29">
    <w:abstractNumId w:val="4"/>
  </w:num>
  <w:num w:numId="30">
    <w:abstractNumId w:val="3"/>
  </w:num>
  <w:num w:numId="31">
    <w:abstractNumId w:val="16"/>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3"/>
  </w:num>
  <w:num w:numId="36">
    <w:abstractNumId w:val="0"/>
  </w:num>
  <w:num w:numId="37">
    <w:abstractNumId w:val="18"/>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38"/>
    <w:rsid w:val="00025462"/>
    <w:rsid w:val="0004000E"/>
    <w:rsid w:val="000450CD"/>
    <w:rsid w:val="00050304"/>
    <w:rsid w:val="00060157"/>
    <w:rsid w:val="00103921"/>
    <w:rsid w:val="00105F75"/>
    <w:rsid w:val="00192694"/>
    <w:rsid w:val="001B0ED4"/>
    <w:rsid w:val="00206DE7"/>
    <w:rsid w:val="00226295"/>
    <w:rsid w:val="00241D4C"/>
    <w:rsid w:val="00266F80"/>
    <w:rsid w:val="0027205D"/>
    <w:rsid w:val="00294593"/>
    <w:rsid w:val="002D7900"/>
    <w:rsid w:val="00303F81"/>
    <w:rsid w:val="00331111"/>
    <w:rsid w:val="003A2785"/>
    <w:rsid w:val="003F4E8F"/>
    <w:rsid w:val="00407CE6"/>
    <w:rsid w:val="004608E5"/>
    <w:rsid w:val="0046557F"/>
    <w:rsid w:val="004F4AF3"/>
    <w:rsid w:val="0052129D"/>
    <w:rsid w:val="00565989"/>
    <w:rsid w:val="00565FD4"/>
    <w:rsid w:val="005C4E24"/>
    <w:rsid w:val="0065087E"/>
    <w:rsid w:val="00696C0A"/>
    <w:rsid w:val="006B40C9"/>
    <w:rsid w:val="006F3A72"/>
    <w:rsid w:val="007160A6"/>
    <w:rsid w:val="007446C2"/>
    <w:rsid w:val="007E3679"/>
    <w:rsid w:val="007E6976"/>
    <w:rsid w:val="00821D5F"/>
    <w:rsid w:val="00826343"/>
    <w:rsid w:val="0087216C"/>
    <w:rsid w:val="008B4E00"/>
    <w:rsid w:val="008F003E"/>
    <w:rsid w:val="009131C0"/>
    <w:rsid w:val="0093515E"/>
    <w:rsid w:val="00941704"/>
    <w:rsid w:val="00956DB8"/>
    <w:rsid w:val="009950EB"/>
    <w:rsid w:val="009A2438"/>
    <w:rsid w:val="009A2DB1"/>
    <w:rsid w:val="009B443B"/>
    <w:rsid w:val="009C7DE3"/>
    <w:rsid w:val="009F760E"/>
    <w:rsid w:val="00A10FF6"/>
    <w:rsid w:val="00A74311"/>
    <w:rsid w:val="00A767BB"/>
    <w:rsid w:val="00AC19BF"/>
    <w:rsid w:val="00AC4A48"/>
    <w:rsid w:val="00B1702F"/>
    <w:rsid w:val="00B2629A"/>
    <w:rsid w:val="00B31774"/>
    <w:rsid w:val="00B55837"/>
    <w:rsid w:val="00B64393"/>
    <w:rsid w:val="00BB15F9"/>
    <w:rsid w:val="00BF2917"/>
    <w:rsid w:val="00C03E9D"/>
    <w:rsid w:val="00C33EFC"/>
    <w:rsid w:val="00C5102A"/>
    <w:rsid w:val="00C64B0A"/>
    <w:rsid w:val="00C8528A"/>
    <w:rsid w:val="00C91F59"/>
    <w:rsid w:val="00CB3016"/>
    <w:rsid w:val="00CF293E"/>
    <w:rsid w:val="00D02C38"/>
    <w:rsid w:val="00D06BE8"/>
    <w:rsid w:val="00D10AA2"/>
    <w:rsid w:val="00D3739E"/>
    <w:rsid w:val="00D50792"/>
    <w:rsid w:val="00D5719E"/>
    <w:rsid w:val="00D845A2"/>
    <w:rsid w:val="00D93B3A"/>
    <w:rsid w:val="00DC791A"/>
    <w:rsid w:val="00E11838"/>
    <w:rsid w:val="00E17F1B"/>
    <w:rsid w:val="00E44A64"/>
    <w:rsid w:val="00EF448E"/>
    <w:rsid w:val="00F13EB4"/>
    <w:rsid w:val="00F20107"/>
    <w:rsid w:val="00F47A91"/>
    <w:rsid w:val="00F5421C"/>
    <w:rsid w:val="00F86076"/>
    <w:rsid w:val="00FA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3D7E"/>
  <w15:docId w15:val="{E930EF82-7141-4427-980D-B617E41D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A2438"/>
    <w:pPr>
      <w:jc w:val="center"/>
    </w:pPr>
    <w:rPr>
      <w:rFonts w:ascii="Albertus Medium" w:hAnsi="Albertus Medium" w:cs="Albertus Medium"/>
    </w:rPr>
  </w:style>
  <w:style w:type="character" w:customStyle="1" w:styleId="TitleChar">
    <w:name w:val="Title Char"/>
    <w:basedOn w:val="DefaultParagraphFont"/>
    <w:link w:val="Title"/>
    <w:uiPriority w:val="99"/>
    <w:rsid w:val="009A2438"/>
    <w:rPr>
      <w:rFonts w:ascii="Albertus Medium" w:eastAsia="Times New Roman" w:hAnsi="Albertus Medium" w:cs="Albertus Medium"/>
      <w:sz w:val="24"/>
      <w:szCs w:val="24"/>
    </w:rPr>
  </w:style>
  <w:style w:type="character" w:styleId="Hyperlink">
    <w:name w:val="Hyperlink"/>
    <w:basedOn w:val="DefaultParagraphFont"/>
    <w:uiPriority w:val="99"/>
    <w:unhideWhenUsed/>
    <w:rsid w:val="00B1702F"/>
    <w:rPr>
      <w:color w:val="0000FF" w:themeColor="hyperlink"/>
      <w:u w:val="single"/>
    </w:rPr>
  </w:style>
  <w:style w:type="paragraph" w:styleId="ListParagraph">
    <w:name w:val="List Paragraph"/>
    <w:basedOn w:val="Normal"/>
    <w:uiPriority w:val="34"/>
    <w:qFormat/>
    <w:rsid w:val="00B1702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21D5F"/>
    <w:pPr>
      <w:spacing w:before="100" w:beforeAutospacing="1" w:after="100" w:afterAutospacing="1"/>
    </w:pPr>
  </w:style>
  <w:style w:type="paragraph" w:styleId="NoSpacing">
    <w:name w:val="No Spacing"/>
    <w:uiPriority w:val="1"/>
    <w:qFormat/>
    <w:rsid w:val="00D93B3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13EB4"/>
    <w:rPr>
      <w:sz w:val="16"/>
      <w:szCs w:val="16"/>
    </w:rPr>
  </w:style>
  <w:style w:type="paragraph" w:styleId="CommentText">
    <w:name w:val="annotation text"/>
    <w:basedOn w:val="Normal"/>
    <w:link w:val="CommentTextChar"/>
    <w:uiPriority w:val="99"/>
    <w:semiHidden/>
    <w:unhideWhenUsed/>
    <w:rsid w:val="00F13E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3EB4"/>
    <w:rPr>
      <w:sz w:val="20"/>
      <w:szCs w:val="20"/>
    </w:rPr>
  </w:style>
  <w:style w:type="paragraph" w:styleId="BalloonText">
    <w:name w:val="Balloon Text"/>
    <w:basedOn w:val="Normal"/>
    <w:link w:val="BalloonTextChar"/>
    <w:uiPriority w:val="99"/>
    <w:semiHidden/>
    <w:unhideWhenUsed/>
    <w:rsid w:val="00F1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B4"/>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D8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wek@zccm-ih.com.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kabwek</dc:creator>
  <cp:lastModifiedBy>Katongo Kabwe</cp:lastModifiedBy>
  <cp:revision>3</cp:revision>
  <cp:lastPrinted>2020-05-11T07:14:00Z</cp:lastPrinted>
  <dcterms:created xsi:type="dcterms:W3CDTF">2020-05-11T10:20:00Z</dcterms:created>
  <dcterms:modified xsi:type="dcterms:W3CDTF">2020-05-11T10:21:00Z</dcterms:modified>
</cp:coreProperties>
</file>